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64EC" w14:textId="095B9D7A" w:rsidR="007A61A3" w:rsidRPr="00467C47" w:rsidRDefault="00467C47" w:rsidP="00542CAE">
      <w:pPr>
        <w:pStyle w:val="Volanta"/>
        <w:tabs>
          <w:tab w:val="left" w:pos="8025"/>
        </w:tabs>
        <w:jc w:val="both"/>
        <w:rPr>
          <w:rFonts w:ascii="Arial" w:hAnsi="Arial" w:cs="Arial"/>
          <w:color w:val="808080" w:themeColor="background1" w:themeShade="80"/>
          <w:kern w:val="0"/>
          <w:sz w:val="26"/>
          <w:szCs w:val="26"/>
        </w:rPr>
      </w:pPr>
      <w:r w:rsidRPr="00467C47">
        <w:rPr>
          <w:rFonts w:ascii="Arial" w:hAnsi="Arial" w:cs="Arial"/>
          <w:color w:val="808080" w:themeColor="background1" w:themeShade="80"/>
          <w:sz w:val="26"/>
          <w:szCs w:val="26"/>
          <w:lang w:eastAsia="es-AR"/>
        </w:rPr>
        <w:t>Football Clubs’ Valuation: The European Elite</w:t>
      </w:r>
    </w:p>
    <w:p w14:paraId="05A063B7" w14:textId="77777777" w:rsidR="00892241" w:rsidRPr="00467C47" w:rsidRDefault="00892241" w:rsidP="00542CAE">
      <w:pPr>
        <w:pStyle w:val="Volanta"/>
        <w:tabs>
          <w:tab w:val="left" w:pos="8025"/>
        </w:tabs>
        <w:jc w:val="both"/>
        <w:rPr>
          <w:rFonts w:ascii="Arial" w:hAnsi="Arial" w:cs="Arial"/>
          <w:b w:val="0"/>
          <w:color w:val="auto"/>
          <w:kern w:val="0"/>
          <w:sz w:val="22"/>
          <w:szCs w:val="22"/>
        </w:rPr>
      </w:pPr>
    </w:p>
    <w:p w14:paraId="50398756" w14:textId="479892D2" w:rsidR="00892241" w:rsidRPr="00892241" w:rsidRDefault="00467C47" w:rsidP="00892241">
      <w:pPr>
        <w:spacing w:before="150" w:after="150"/>
        <w:jc w:val="center"/>
        <w:rPr>
          <w:rFonts w:ascii="Arial" w:hAnsi="Arial" w:cs="Arial"/>
          <w:b/>
          <w:bCs/>
          <w:color w:val="31849B" w:themeColor="accent5" w:themeShade="BF"/>
          <w:sz w:val="40"/>
          <w:szCs w:val="40"/>
          <w:lang w:val="es-AR" w:eastAsia="es-AR"/>
        </w:rPr>
      </w:pPr>
      <w:r>
        <w:rPr>
          <w:rFonts w:ascii="Arial" w:hAnsi="Arial" w:cs="Arial"/>
          <w:b/>
          <w:bCs/>
          <w:color w:val="31849B" w:themeColor="accent5" w:themeShade="BF"/>
          <w:sz w:val="40"/>
          <w:szCs w:val="40"/>
          <w:lang w:val="es-AR" w:eastAsia="es-AR"/>
        </w:rPr>
        <w:t xml:space="preserve">Cae por la pandemia el valor económico </w:t>
      </w:r>
      <w:r w:rsidR="00D72652">
        <w:rPr>
          <w:rFonts w:ascii="Arial" w:hAnsi="Arial" w:cs="Arial"/>
          <w:b/>
          <w:bCs/>
          <w:color w:val="31849B" w:themeColor="accent5" w:themeShade="BF"/>
          <w:sz w:val="40"/>
          <w:szCs w:val="40"/>
          <w:lang w:val="es-AR" w:eastAsia="es-AR"/>
        </w:rPr>
        <w:t xml:space="preserve">               de </w:t>
      </w:r>
      <w:r w:rsidR="00892241" w:rsidRPr="00892241">
        <w:rPr>
          <w:rFonts w:ascii="Arial" w:hAnsi="Arial" w:cs="Arial"/>
          <w:b/>
          <w:bCs/>
          <w:color w:val="31849B" w:themeColor="accent5" w:themeShade="BF"/>
          <w:sz w:val="40"/>
          <w:szCs w:val="40"/>
          <w:lang w:val="es-AR" w:eastAsia="es-AR"/>
        </w:rPr>
        <w:t xml:space="preserve">los mejores clubes </w:t>
      </w:r>
      <w:r>
        <w:rPr>
          <w:rFonts w:ascii="Arial" w:hAnsi="Arial" w:cs="Arial"/>
          <w:b/>
          <w:bCs/>
          <w:color w:val="31849B" w:themeColor="accent5" w:themeShade="BF"/>
          <w:sz w:val="40"/>
          <w:szCs w:val="40"/>
          <w:lang w:val="es-AR" w:eastAsia="es-AR"/>
        </w:rPr>
        <w:t>de</w:t>
      </w:r>
      <w:r w:rsidR="00443B18">
        <w:rPr>
          <w:rFonts w:ascii="Arial" w:hAnsi="Arial" w:cs="Arial"/>
          <w:b/>
          <w:bCs/>
          <w:color w:val="31849B" w:themeColor="accent5" w:themeShade="BF"/>
          <w:sz w:val="40"/>
          <w:szCs w:val="40"/>
          <w:lang w:val="es-AR" w:eastAsia="es-AR"/>
        </w:rPr>
        <w:t>l</w:t>
      </w:r>
      <w:r>
        <w:rPr>
          <w:rFonts w:ascii="Arial" w:hAnsi="Arial" w:cs="Arial"/>
          <w:b/>
          <w:bCs/>
          <w:color w:val="31849B" w:themeColor="accent5" w:themeShade="BF"/>
          <w:sz w:val="40"/>
          <w:szCs w:val="40"/>
          <w:lang w:val="es-AR" w:eastAsia="es-AR"/>
        </w:rPr>
        <w:t xml:space="preserve"> futbol </w:t>
      </w:r>
      <w:r w:rsidR="00892241" w:rsidRPr="00892241">
        <w:rPr>
          <w:rFonts w:ascii="Arial" w:hAnsi="Arial" w:cs="Arial"/>
          <w:b/>
          <w:bCs/>
          <w:color w:val="31849B" w:themeColor="accent5" w:themeShade="BF"/>
          <w:sz w:val="40"/>
          <w:szCs w:val="40"/>
          <w:lang w:val="es-AR" w:eastAsia="es-AR"/>
        </w:rPr>
        <w:t xml:space="preserve">europeo </w:t>
      </w:r>
    </w:p>
    <w:p w14:paraId="6469F9A7" w14:textId="77777777" w:rsidR="00467C47" w:rsidRDefault="00467C47" w:rsidP="00467C47">
      <w:pPr>
        <w:spacing w:before="150" w:after="150"/>
        <w:jc w:val="both"/>
        <w:rPr>
          <w:rFonts w:ascii="Arial" w:hAnsi="Arial" w:cs="Arial"/>
          <w:color w:val="31849B" w:themeColor="accent5" w:themeShade="BF"/>
          <w:sz w:val="24"/>
          <w:szCs w:val="24"/>
          <w:lang w:val="es-AR" w:eastAsia="es-AR"/>
        </w:rPr>
      </w:pPr>
    </w:p>
    <w:p w14:paraId="0AF52574" w14:textId="5F98231E" w:rsidR="00222651" w:rsidRPr="00222651" w:rsidRDefault="00467C47" w:rsidP="00467C47">
      <w:pPr>
        <w:spacing w:before="150" w:after="150"/>
        <w:jc w:val="both"/>
        <w:rPr>
          <w:rFonts w:ascii="Arial" w:hAnsi="Arial" w:cs="Arial"/>
          <w:color w:val="31849B" w:themeColor="accent5" w:themeShade="BF"/>
          <w:sz w:val="24"/>
          <w:szCs w:val="24"/>
          <w:lang w:val="es-AR" w:eastAsia="es-AR"/>
        </w:rPr>
      </w:pPr>
      <w:r w:rsidRPr="00467C47">
        <w:rPr>
          <w:rFonts w:ascii="Arial" w:hAnsi="Arial" w:cs="Arial"/>
          <w:color w:val="31849B" w:themeColor="accent5" w:themeShade="BF"/>
          <w:sz w:val="24"/>
          <w:szCs w:val="24"/>
          <w:lang w:val="es-AR" w:eastAsia="es-AR"/>
        </w:rPr>
        <w:t>Real Madrid</w:t>
      </w:r>
      <w:r w:rsidR="00D72652">
        <w:rPr>
          <w:rFonts w:ascii="Arial" w:hAnsi="Arial" w:cs="Arial"/>
          <w:color w:val="31849B" w:themeColor="accent5" w:themeShade="BF"/>
          <w:sz w:val="24"/>
          <w:szCs w:val="24"/>
          <w:lang w:val="es-AR" w:eastAsia="es-AR"/>
        </w:rPr>
        <w:t xml:space="preserve"> mantiene por tercer año consecutivo </w:t>
      </w:r>
      <w:r w:rsidRPr="00467C47">
        <w:rPr>
          <w:rFonts w:ascii="Arial" w:hAnsi="Arial" w:cs="Arial"/>
          <w:color w:val="31849B" w:themeColor="accent5" w:themeShade="BF"/>
          <w:sz w:val="24"/>
          <w:szCs w:val="24"/>
          <w:lang w:val="es-AR" w:eastAsia="es-AR"/>
        </w:rPr>
        <w:t>su posición como el club más valioso por delante de</w:t>
      </w:r>
      <w:r w:rsidR="00443B18">
        <w:rPr>
          <w:rFonts w:ascii="Arial" w:hAnsi="Arial" w:cs="Arial"/>
          <w:color w:val="31849B" w:themeColor="accent5" w:themeShade="BF"/>
          <w:sz w:val="24"/>
          <w:szCs w:val="24"/>
          <w:lang w:val="es-AR" w:eastAsia="es-AR"/>
        </w:rPr>
        <w:t xml:space="preserve"> </w:t>
      </w:r>
      <w:r w:rsidRPr="00467C47">
        <w:rPr>
          <w:rFonts w:ascii="Arial" w:hAnsi="Arial" w:cs="Arial"/>
          <w:color w:val="31849B" w:themeColor="accent5" w:themeShade="BF"/>
          <w:sz w:val="24"/>
          <w:szCs w:val="24"/>
          <w:lang w:val="es-AR" w:eastAsia="es-AR"/>
        </w:rPr>
        <w:t>Barcelona y Manchester United.</w:t>
      </w:r>
      <w:r w:rsidRPr="00467C47">
        <w:rPr>
          <w:rFonts w:ascii="Arial" w:hAnsi="Arial" w:cs="Arial"/>
          <w:color w:val="auto"/>
          <w:sz w:val="22"/>
          <w:lang w:val="es-AR" w:eastAsia="es-AR"/>
        </w:rPr>
        <w:t xml:space="preserve"> </w:t>
      </w:r>
      <w:r w:rsidR="00443B18">
        <w:rPr>
          <w:rFonts w:ascii="Arial" w:hAnsi="Arial" w:cs="Arial"/>
          <w:color w:val="31849B" w:themeColor="accent5" w:themeShade="BF"/>
          <w:sz w:val="24"/>
          <w:szCs w:val="24"/>
          <w:lang w:val="es-AR" w:eastAsia="es-AR"/>
        </w:rPr>
        <w:t>L</w:t>
      </w:r>
      <w:r w:rsidRPr="00467C47">
        <w:rPr>
          <w:rFonts w:ascii="Arial" w:hAnsi="Arial" w:cs="Arial"/>
          <w:color w:val="31849B" w:themeColor="accent5" w:themeShade="BF"/>
          <w:sz w:val="24"/>
          <w:szCs w:val="24"/>
          <w:lang w:val="es-AR" w:eastAsia="es-AR"/>
        </w:rPr>
        <w:t xml:space="preserve">os 32 mejores clubes </w:t>
      </w:r>
      <w:r w:rsidR="00443B18">
        <w:rPr>
          <w:rFonts w:ascii="Arial" w:hAnsi="Arial" w:cs="Arial"/>
          <w:color w:val="31849B" w:themeColor="accent5" w:themeShade="BF"/>
          <w:sz w:val="24"/>
          <w:szCs w:val="24"/>
          <w:lang w:val="es-AR" w:eastAsia="es-AR"/>
        </w:rPr>
        <w:t xml:space="preserve">analizados tuvieron una caída </w:t>
      </w:r>
      <w:r w:rsidR="00BF0D80">
        <w:rPr>
          <w:rFonts w:ascii="Arial" w:hAnsi="Arial" w:cs="Arial"/>
          <w:color w:val="31849B" w:themeColor="accent5" w:themeShade="BF"/>
          <w:sz w:val="24"/>
          <w:szCs w:val="24"/>
          <w:lang w:val="es-AR" w:eastAsia="es-AR"/>
        </w:rPr>
        <w:t>inter</w:t>
      </w:r>
      <w:r w:rsidR="00443B18">
        <w:rPr>
          <w:rFonts w:ascii="Arial" w:hAnsi="Arial" w:cs="Arial"/>
          <w:color w:val="31849B" w:themeColor="accent5" w:themeShade="BF"/>
          <w:sz w:val="24"/>
          <w:szCs w:val="24"/>
          <w:lang w:val="es-AR" w:eastAsia="es-AR"/>
        </w:rPr>
        <w:t xml:space="preserve">anual de </w:t>
      </w:r>
      <w:r w:rsidR="00443B18" w:rsidRPr="00443B18">
        <w:rPr>
          <w:rFonts w:ascii="Arial" w:hAnsi="Arial" w:cs="Arial"/>
          <w:color w:val="31849B" w:themeColor="accent5" w:themeShade="BF"/>
          <w:sz w:val="24"/>
          <w:szCs w:val="24"/>
          <w:lang w:val="es-AR" w:eastAsia="es-AR"/>
        </w:rPr>
        <w:t xml:space="preserve">6.100 millones de euros y de ese total solo 7 </w:t>
      </w:r>
      <w:r w:rsidRPr="00467C47">
        <w:rPr>
          <w:rFonts w:ascii="Arial" w:hAnsi="Arial" w:cs="Arial"/>
          <w:color w:val="31849B" w:themeColor="accent5" w:themeShade="BF"/>
          <w:sz w:val="24"/>
          <w:szCs w:val="24"/>
          <w:lang w:val="es-AR" w:eastAsia="es-AR"/>
        </w:rPr>
        <w:t>reportaron ganancias netas, en comparación con los 20 clubes rentables de</w:t>
      </w:r>
      <w:r w:rsidR="00D72652">
        <w:rPr>
          <w:rFonts w:ascii="Arial" w:hAnsi="Arial" w:cs="Arial"/>
          <w:color w:val="31849B" w:themeColor="accent5" w:themeShade="BF"/>
          <w:sz w:val="24"/>
          <w:szCs w:val="24"/>
          <w:lang w:val="es-AR" w:eastAsia="es-AR"/>
        </w:rPr>
        <w:t>l año pasado.</w:t>
      </w:r>
      <w:r w:rsidR="00491F45" w:rsidRPr="00491F45">
        <w:rPr>
          <w:rFonts w:ascii="Arial" w:hAnsi="Arial" w:cs="Arial"/>
          <w:color w:val="31849B" w:themeColor="accent5" w:themeShade="BF"/>
          <w:sz w:val="24"/>
          <w:szCs w:val="24"/>
          <w:lang w:val="es-AR" w:eastAsia="es-AR"/>
        </w:rPr>
        <w:t xml:space="preserve"> </w:t>
      </w:r>
      <w:r w:rsidR="00491F45">
        <w:rPr>
          <w:rFonts w:ascii="Arial" w:hAnsi="Arial" w:cs="Arial"/>
          <w:color w:val="31849B" w:themeColor="accent5" w:themeShade="BF"/>
          <w:sz w:val="24"/>
          <w:szCs w:val="24"/>
          <w:lang w:val="es-AR" w:eastAsia="es-AR"/>
        </w:rPr>
        <w:t>E</w:t>
      </w:r>
      <w:r w:rsidR="00491F45" w:rsidRPr="00491F45">
        <w:rPr>
          <w:rFonts w:ascii="Arial" w:hAnsi="Arial" w:cs="Arial"/>
          <w:color w:val="31849B" w:themeColor="accent5" w:themeShade="BF"/>
          <w:sz w:val="24"/>
          <w:szCs w:val="24"/>
          <w:lang w:val="es-AR" w:eastAsia="es-AR"/>
        </w:rPr>
        <w:t>l valor conjunto de mercado de los 500 jugadores de fútbol más valiosos ha disminuido un 10% entre febrero de 2020 y abril de 2021.</w:t>
      </w:r>
    </w:p>
    <w:p w14:paraId="7544D42D" w14:textId="0B963193" w:rsidR="00892241" w:rsidRPr="00467C47" w:rsidRDefault="00892241" w:rsidP="00467C47">
      <w:pPr>
        <w:spacing w:before="150" w:after="150"/>
        <w:jc w:val="both"/>
        <w:rPr>
          <w:rFonts w:ascii="Arial" w:hAnsi="Arial" w:cs="Arial"/>
          <w:color w:val="auto"/>
          <w:sz w:val="22"/>
          <w:lang w:val="es-AR" w:eastAsia="es-AR"/>
        </w:rPr>
      </w:pPr>
      <w:r w:rsidRPr="00892241">
        <w:rPr>
          <w:rFonts w:ascii="Arial" w:hAnsi="Arial" w:cs="Arial"/>
          <w:b/>
          <w:bCs/>
          <w:color w:val="auto"/>
          <w:sz w:val="22"/>
          <w:lang w:val="es-AR" w:eastAsia="es-AR"/>
        </w:rPr>
        <w:t xml:space="preserve">Buenos Aires, </w:t>
      </w:r>
      <w:r w:rsidR="00491F45">
        <w:rPr>
          <w:rFonts w:ascii="Arial" w:hAnsi="Arial" w:cs="Arial"/>
          <w:b/>
          <w:bCs/>
          <w:color w:val="auto"/>
          <w:sz w:val="22"/>
          <w:lang w:val="es-AR" w:eastAsia="es-AR"/>
        </w:rPr>
        <w:t>2</w:t>
      </w:r>
      <w:r w:rsidRPr="00892241">
        <w:rPr>
          <w:rFonts w:ascii="Arial" w:hAnsi="Arial" w:cs="Arial"/>
          <w:b/>
          <w:bCs/>
          <w:color w:val="auto"/>
          <w:sz w:val="22"/>
          <w:lang w:val="es-AR" w:eastAsia="es-AR"/>
        </w:rPr>
        <w:t xml:space="preserve"> de junio de 2021 / KPMG</w:t>
      </w:r>
      <w:r>
        <w:rPr>
          <w:rFonts w:ascii="Arial" w:hAnsi="Arial" w:cs="Arial"/>
          <w:color w:val="auto"/>
          <w:sz w:val="22"/>
          <w:lang w:val="es-AR" w:eastAsia="es-AR"/>
        </w:rPr>
        <w:t xml:space="preserve">. </w:t>
      </w:r>
      <w:r w:rsidRPr="00892241">
        <w:rPr>
          <w:rFonts w:ascii="Arial" w:hAnsi="Arial" w:cs="Arial"/>
          <w:color w:val="auto"/>
          <w:sz w:val="22"/>
          <w:lang w:val="es-AR" w:eastAsia="es-AR"/>
        </w:rPr>
        <w:t>La situación no ha variado mucho, pero el rendimiento financiero ha cambiado drásticamente</w:t>
      </w:r>
      <w:r w:rsidR="00222651">
        <w:rPr>
          <w:rFonts w:ascii="Arial" w:hAnsi="Arial" w:cs="Arial"/>
          <w:color w:val="auto"/>
          <w:sz w:val="22"/>
          <w:lang w:val="es-AR" w:eastAsia="es-AR"/>
        </w:rPr>
        <w:t>,</w:t>
      </w:r>
      <w:r w:rsidR="00467C47">
        <w:rPr>
          <w:rFonts w:ascii="Arial" w:hAnsi="Arial" w:cs="Arial"/>
          <w:color w:val="auto"/>
          <w:sz w:val="22"/>
          <w:lang w:val="es-AR" w:eastAsia="es-AR"/>
        </w:rPr>
        <w:t xml:space="preserve"> según una de las</w:t>
      </w:r>
      <w:r w:rsidRPr="00892241">
        <w:rPr>
          <w:rFonts w:ascii="Arial" w:hAnsi="Arial" w:cs="Arial"/>
          <w:color w:val="auto"/>
          <w:sz w:val="22"/>
          <w:lang w:val="es-AR" w:eastAsia="es-AR"/>
        </w:rPr>
        <w:t xml:space="preserve"> conclusiones generales de la sexta edición anual del informe "</w:t>
      </w:r>
      <w:r w:rsidRPr="00892241">
        <w:rPr>
          <w:color w:val="auto"/>
          <w:sz w:val="22"/>
          <w:lang w:val="es-AR"/>
        </w:rPr>
        <w:t xml:space="preserve"> </w:t>
      </w:r>
      <w:r w:rsidRPr="00892241">
        <w:rPr>
          <w:rFonts w:ascii="Arial" w:hAnsi="Arial" w:cs="Arial"/>
          <w:b/>
          <w:bCs/>
          <w:color w:val="auto"/>
          <w:sz w:val="22"/>
          <w:lang w:val="es-AR" w:eastAsia="es-AR"/>
        </w:rPr>
        <w:t>Football Clubs’ Valuation: The European Elite",</w:t>
      </w:r>
      <w:r w:rsidRPr="00892241">
        <w:rPr>
          <w:rFonts w:ascii="Arial" w:hAnsi="Arial" w:cs="Arial"/>
          <w:color w:val="auto"/>
          <w:sz w:val="22"/>
          <w:lang w:val="es-AR" w:eastAsia="es-AR"/>
        </w:rPr>
        <w:t xml:space="preserve"> que clasifica a los 32 clubes de</w:t>
      </w:r>
      <w:r w:rsidR="00443B18">
        <w:rPr>
          <w:rFonts w:ascii="Arial" w:hAnsi="Arial" w:cs="Arial"/>
          <w:color w:val="auto"/>
          <w:sz w:val="22"/>
          <w:lang w:val="es-AR" w:eastAsia="es-AR"/>
        </w:rPr>
        <w:t>l</w:t>
      </w:r>
      <w:r w:rsidRPr="00892241">
        <w:rPr>
          <w:rFonts w:ascii="Arial" w:hAnsi="Arial" w:cs="Arial"/>
          <w:color w:val="auto"/>
          <w:sz w:val="22"/>
          <w:lang w:val="es-AR" w:eastAsia="es-AR"/>
        </w:rPr>
        <w:t xml:space="preserve"> fútbol europeo más destacados en función de su Valor Empresarial (VE). </w:t>
      </w:r>
      <w:r w:rsidR="00222651">
        <w:rPr>
          <w:rFonts w:ascii="Arial" w:hAnsi="Arial" w:cs="Arial"/>
          <w:color w:val="auto"/>
          <w:sz w:val="22"/>
          <w:lang w:val="es-AR" w:eastAsia="es-AR"/>
        </w:rPr>
        <w:t>E</w:t>
      </w:r>
      <w:r w:rsidRPr="00892241">
        <w:rPr>
          <w:rFonts w:ascii="Arial" w:hAnsi="Arial" w:cs="Arial"/>
          <w:color w:val="auto"/>
          <w:sz w:val="22"/>
          <w:lang w:val="es-AR" w:eastAsia="es-AR"/>
        </w:rPr>
        <w:t>l Real Madrid sigu</w:t>
      </w:r>
      <w:r w:rsidR="00443B18">
        <w:rPr>
          <w:rFonts w:ascii="Arial" w:hAnsi="Arial" w:cs="Arial"/>
          <w:color w:val="auto"/>
          <w:sz w:val="22"/>
          <w:lang w:val="es-AR" w:eastAsia="es-AR"/>
        </w:rPr>
        <w:t>e</w:t>
      </w:r>
      <w:r w:rsidRPr="00892241">
        <w:rPr>
          <w:rFonts w:ascii="Arial" w:hAnsi="Arial" w:cs="Arial"/>
          <w:color w:val="auto"/>
          <w:sz w:val="22"/>
          <w:lang w:val="es-AR" w:eastAsia="es-AR"/>
        </w:rPr>
        <w:t xml:space="preserve"> siendo el más valioso, mientras que Barcelona desplazó a Manchester United del segundo puesto. Sin embargo, y principalmente debido a los devastadores impactos de la pandemia de coronavirus, por primera vez en </w:t>
      </w:r>
      <w:r w:rsidR="00443B18">
        <w:rPr>
          <w:rFonts w:ascii="Arial" w:hAnsi="Arial" w:cs="Arial"/>
          <w:color w:val="auto"/>
          <w:sz w:val="22"/>
          <w:lang w:val="es-AR" w:eastAsia="es-AR"/>
        </w:rPr>
        <w:t xml:space="preserve">estos </w:t>
      </w:r>
      <w:r w:rsidRPr="00892241">
        <w:rPr>
          <w:rFonts w:ascii="Arial" w:hAnsi="Arial" w:cs="Arial"/>
          <w:color w:val="auto"/>
          <w:sz w:val="22"/>
          <w:lang w:val="es-AR" w:eastAsia="es-AR"/>
        </w:rPr>
        <w:t>informes anuales, el VE conjunto de los 32 principales clubes ha disminuido respecto del mismo período del año anterior.</w:t>
      </w:r>
    </w:p>
    <w:p w14:paraId="6C8CB8F5" w14:textId="2B01B04B" w:rsidR="00892241" w:rsidRPr="00892241" w:rsidRDefault="00892241" w:rsidP="00892241">
      <w:pPr>
        <w:spacing w:before="150" w:after="150"/>
        <w:rPr>
          <w:rFonts w:ascii="Arial" w:hAnsi="Arial" w:cs="Arial"/>
          <w:b/>
          <w:bCs/>
          <w:color w:val="auto"/>
          <w:sz w:val="22"/>
          <w:u w:val="single"/>
          <w:lang w:val="es-AR" w:eastAsia="es-AR"/>
        </w:rPr>
      </w:pPr>
      <w:r>
        <w:rPr>
          <w:rFonts w:ascii="Arial" w:hAnsi="Arial" w:cs="Arial"/>
          <w:b/>
          <w:bCs/>
          <w:color w:val="auto"/>
          <w:sz w:val="22"/>
          <w:u w:val="single"/>
          <w:lang w:val="es-AR" w:eastAsia="es-AR"/>
        </w:rPr>
        <w:t>Principales c</w:t>
      </w:r>
      <w:r w:rsidRPr="00892241">
        <w:rPr>
          <w:rFonts w:ascii="Arial" w:hAnsi="Arial" w:cs="Arial"/>
          <w:b/>
          <w:bCs/>
          <w:color w:val="auto"/>
          <w:sz w:val="22"/>
          <w:u w:val="single"/>
          <w:lang w:val="es-AR" w:eastAsia="es-AR"/>
        </w:rPr>
        <w:t>onclusiones</w:t>
      </w:r>
    </w:p>
    <w:p w14:paraId="6DA07D85" w14:textId="2BA79F59"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El Real Madrid ha mantenido su posición como el club de fútbol europeo más valioso por tercer año consecutivo, por delante del Barcelona y Manchester United.</w:t>
      </w:r>
    </w:p>
    <w:p w14:paraId="40FC5486" w14:textId="72270FDA"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En el top 10, Paris Saint-Germain subió a la octava posición, superando a</w:t>
      </w:r>
      <w:r w:rsidR="00222651">
        <w:rPr>
          <w:rFonts w:ascii="Arial" w:hAnsi="Arial" w:cs="Arial"/>
          <w:color w:val="auto"/>
          <w:sz w:val="22"/>
          <w:lang w:val="es-AR" w:eastAsia="es-AR"/>
        </w:rPr>
        <w:t xml:space="preserve"> </w:t>
      </w:r>
      <w:r w:rsidRPr="00892241">
        <w:rPr>
          <w:rFonts w:ascii="Arial" w:hAnsi="Arial" w:cs="Arial"/>
          <w:color w:val="auto"/>
          <w:sz w:val="22"/>
          <w:lang w:val="es-AR" w:eastAsia="es-AR"/>
        </w:rPr>
        <w:t xml:space="preserve">Tottenham Hotspur, mientras que Juventus volvió a ingresar al </w:t>
      </w:r>
      <w:r w:rsidR="00443B18">
        <w:rPr>
          <w:rFonts w:ascii="Arial" w:hAnsi="Arial" w:cs="Arial"/>
          <w:color w:val="auto"/>
          <w:sz w:val="22"/>
          <w:lang w:val="es-AR" w:eastAsia="es-AR"/>
        </w:rPr>
        <w:t>grupo líder</w:t>
      </w:r>
      <w:r w:rsidRPr="00892241">
        <w:rPr>
          <w:rFonts w:ascii="Arial" w:hAnsi="Arial" w:cs="Arial"/>
          <w:color w:val="auto"/>
          <w:sz w:val="22"/>
          <w:lang w:val="es-AR" w:eastAsia="es-AR"/>
        </w:rPr>
        <w:t xml:space="preserve"> reemplazando a</w:t>
      </w:r>
      <w:r w:rsidR="00222651">
        <w:rPr>
          <w:rFonts w:ascii="Arial" w:hAnsi="Arial" w:cs="Arial"/>
          <w:color w:val="auto"/>
          <w:sz w:val="22"/>
          <w:lang w:val="es-AR" w:eastAsia="es-AR"/>
        </w:rPr>
        <w:t xml:space="preserve"> </w:t>
      </w:r>
      <w:r w:rsidRPr="00892241">
        <w:rPr>
          <w:rFonts w:ascii="Arial" w:hAnsi="Arial" w:cs="Arial"/>
          <w:color w:val="auto"/>
          <w:sz w:val="22"/>
          <w:lang w:val="es-AR" w:eastAsia="es-AR"/>
        </w:rPr>
        <w:t>Arsenal, que perdió seis posiciones desde la primera edición de</w:t>
      </w:r>
      <w:r w:rsidR="00443B18">
        <w:rPr>
          <w:rFonts w:ascii="Arial" w:hAnsi="Arial" w:cs="Arial"/>
          <w:color w:val="auto"/>
          <w:sz w:val="22"/>
          <w:lang w:val="es-AR" w:eastAsia="es-AR"/>
        </w:rPr>
        <w:t xml:space="preserve">l </w:t>
      </w:r>
      <w:r w:rsidRPr="00892241">
        <w:rPr>
          <w:rFonts w:ascii="Arial" w:hAnsi="Arial" w:cs="Arial"/>
          <w:color w:val="auto"/>
          <w:sz w:val="22"/>
          <w:lang w:val="es-AR" w:eastAsia="es-AR"/>
        </w:rPr>
        <w:t>ranking en 2016.</w:t>
      </w:r>
    </w:p>
    <w:p w14:paraId="2B43603D" w14:textId="71339A45"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Atalanta, Olympique de Marseille y Fenerbahçe son los nuevos integrantes del informe de este año, mientras que West Ham United, Athletic Club de Bilbao y Beşiktaş</w:t>
      </w:r>
      <w:r w:rsidR="00443B18">
        <w:rPr>
          <w:rFonts w:ascii="Arial" w:hAnsi="Arial" w:cs="Arial"/>
          <w:color w:val="auto"/>
          <w:sz w:val="22"/>
          <w:lang w:val="es-AR" w:eastAsia="es-AR"/>
        </w:rPr>
        <w:t>,</w:t>
      </w:r>
      <w:r w:rsidRPr="00892241">
        <w:rPr>
          <w:rFonts w:ascii="Arial" w:hAnsi="Arial" w:cs="Arial"/>
          <w:color w:val="auto"/>
          <w:sz w:val="22"/>
          <w:lang w:val="es-AR" w:eastAsia="es-AR"/>
        </w:rPr>
        <w:t xml:space="preserve"> quedaron fuera.</w:t>
      </w:r>
    </w:p>
    <w:p w14:paraId="52CFC98B" w14:textId="68153A5B"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Después de años de crecimiento constante, el VE de los 32 mejores clubes ha sufrido una caída interanual de 6.100 millones de euros (-15%).</w:t>
      </w:r>
    </w:p>
    <w:p w14:paraId="0873BAFB" w14:textId="77777777"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Los ingresos por retransmisiones y por partido fueron los más afectados por la pandemia, mientras que los ingresos comerciales aumentaron levemente, principalmente gracias a los acuerdos firmados antes del inicio de la crisis sanitaria.</w:t>
      </w:r>
    </w:p>
    <w:p w14:paraId="4F4B0A3F" w14:textId="6A8818BA" w:rsidR="00892241" w:rsidRPr="0022265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Solo 7 de los 32 mejores clubes reportaron ganancias netas, en comparación con los 20 clubes rentables del año anterior.</w:t>
      </w:r>
    </w:p>
    <w:p w14:paraId="0CD4E0F7" w14:textId="77777777" w:rsidR="00892241" w:rsidRPr="001F45B8" w:rsidRDefault="00892241" w:rsidP="00443B18">
      <w:pPr>
        <w:spacing w:before="150" w:after="150"/>
        <w:jc w:val="center"/>
        <w:rPr>
          <w:rFonts w:ascii="Arial" w:hAnsi="Arial" w:cs="Arial"/>
          <w:lang w:eastAsia="es-AR"/>
        </w:rPr>
      </w:pPr>
      <w:r w:rsidRPr="00167414">
        <w:rPr>
          <w:rFonts w:ascii="Arial" w:hAnsi="Arial" w:cs="Arial"/>
          <w:noProof/>
          <w:color w:val="333333"/>
          <w:sz w:val="21"/>
          <w:szCs w:val="21"/>
          <w:lang w:val="en" w:eastAsia="es-AR"/>
        </w:rPr>
        <w:lastRenderedPageBreak/>
        <w:drawing>
          <wp:inline distT="0" distB="0" distL="0" distR="0" wp14:anchorId="1E876F84" wp14:editId="4539F91E">
            <wp:extent cx="4352925" cy="435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925" cy="4352925"/>
                    </a:xfrm>
                    <a:prstGeom prst="rect">
                      <a:avLst/>
                    </a:prstGeom>
                    <a:noFill/>
                    <a:ln>
                      <a:noFill/>
                    </a:ln>
                  </pic:spPr>
                </pic:pic>
              </a:graphicData>
            </a:graphic>
          </wp:inline>
        </w:drawing>
      </w:r>
    </w:p>
    <w:p w14:paraId="5DC7218B" w14:textId="77777777" w:rsidR="00892241" w:rsidRDefault="00892241" w:rsidP="00892241">
      <w:pPr>
        <w:spacing w:before="150" w:after="150"/>
        <w:rPr>
          <w:rFonts w:ascii="Arial" w:hAnsi="Arial" w:cs="Arial"/>
          <w:b/>
          <w:bCs/>
          <w:lang w:eastAsia="es-AR"/>
        </w:rPr>
      </w:pPr>
    </w:p>
    <w:p w14:paraId="3EC7FB66" w14:textId="77777777" w:rsidR="00892241" w:rsidRPr="00892241" w:rsidRDefault="00892241" w:rsidP="00892241">
      <w:pPr>
        <w:spacing w:before="150" w:after="150"/>
        <w:jc w:val="both"/>
        <w:rPr>
          <w:rFonts w:ascii="Arial" w:hAnsi="Arial" w:cs="Arial"/>
          <w:b/>
          <w:bCs/>
          <w:color w:val="auto"/>
          <w:sz w:val="22"/>
          <w:lang w:val="es-AR" w:eastAsia="es-AR"/>
        </w:rPr>
      </w:pPr>
      <w:r w:rsidRPr="00892241">
        <w:rPr>
          <w:rFonts w:ascii="Arial" w:hAnsi="Arial" w:cs="Arial"/>
          <w:b/>
          <w:bCs/>
          <w:color w:val="auto"/>
          <w:sz w:val="22"/>
          <w:lang w:val="es-AR" w:eastAsia="es-AR"/>
        </w:rPr>
        <w:t>La pandemia provoca la caída del VE de los clubes de élite</w:t>
      </w:r>
    </w:p>
    <w:p w14:paraId="1904539F" w14:textId="5D951934"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El impacto de</w:t>
      </w:r>
      <w:r w:rsidR="00222651">
        <w:rPr>
          <w:rFonts w:ascii="Arial" w:hAnsi="Arial" w:cs="Arial"/>
          <w:color w:val="auto"/>
          <w:sz w:val="22"/>
          <w:lang w:val="es-AR" w:eastAsia="es-AR"/>
        </w:rPr>
        <w:t>l</w:t>
      </w:r>
      <w:r w:rsidRPr="00892241">
        <w:rPr>
          <w:rFonts w:ascii="Arial" w:hAnsi="Arial" w:cs="Arial"/>
          <w:color w:val="auto"/>
          <w:sz w:val="22"/>
          <w:lang w:val="es-AR" w:eastAsia="es-AR"/>
        </w:rPr>
        <w:t xml:space="preserve"> COVID-19 se ve claramente reflejado en los indicadores de rendimiento financiero de los clubes de fútbol más destacados de Europa. Por primera vez </w:t>
      </w:r>
      <w:r w:rsidR="00443B18">
        <w:rPr>
          <w:rFonts w:ascii="Arial" w:hAnsi="Arial" w:cs="Arial"/>
          <w:color w:val="auto"/>
          <w:sz w:val="22"/>
          <w:lang w:val="es-AR" w:eastAsia="es-AR"/>
        </w:rPr>
        <w:t>en estos</w:t>
      </w:r>
      <w:r w:rsidRPr="00892241">
        <w:rPr>
          <w:rFonts w:ascii="Arial" w:hAnsi="Arial" w:cs="Arial"/>
          <w:color w:val="auto"/>
          <w:sz w:val="22"/>
          <w:lang w:val="es-AR" w:eastAsia="es-AR"/>
        </w:rPr>
        <w:t xml:space="preserve"> informes anuales, los 29 clubes que participaron del análisis realizado el año pasado sufrieron una disminución anual en su VE y, por lo tanto, el valor empresarial conjunto de los 32 clubes de fútbol </w:t>
      </w:r>
      <w:r w:rsidR="00443B18">
        <w:rPr>
          <w:rFonts w:ascii="Arial" w:hAnsi="Arial" w:cs="Arial"/>
          <w:color w:val="auto"/>
          <w:sz w:val="22"/>
          <w:lang w:val="es-AR" w:eastAsia="es-AR"/>
        </w:rPr>
        <w:t xml:space="preserve">estudiados </w:t>
      </w:r>
      <w:r w:rsidRPr="00892241">
        <w:rPr>
          <w:rFonts w:ascii="Arial" w:hAnsi="Arial" w:cs="Arial"/>
          <w:color w:val="auto"/>
          <w:sz w:val="22"/>
          <w:lang w:val="es-AR" w:eastAsia="es-AR"/>
        </w:rPr>
        <w:t>ha registrado una caída interanual del 15% (- 6.100 millones de euros), llegando a los 33.600 millones de euros, un valor ligeramente superior al nivel de 2018. Si bien el VE de los tres clubes ubicados en el podio aumentó durante el último año (</w:t>
      </w:r>
      <w:r w:rsidR="00443B18">
        <w:rPr>
          <w:rFonts w:ascii="Arial" w:hAnsi="Arial" w:cs="Arial"/>
          <w:color w:val="auto"/>
          <w:sz w:val="22"/>
          <w:lang w:val="es-AR" w:eastAsia="es-AR"/>
        </w:rPr>
        <w:t xml:space="preserve">Real Madrid </w:t>
      </w:r>
      <w:r w:rsidRPr="00892241">
        <w:rPr>
          <w:rFonts w:ascii="Arial" w:hAnsi="Arial" w:cs="Arial"/>
          <w:color w:val="auto"/>
          <w:sz w:val="22"/>
          <w:lang w:val="es-AR" w:eastAsia="es-AR"/>
        </w:rPr>
        <w:t>en un 8%</w:t>
      </w:r>
      <w:r w:rsidR="00443B18">
        <w:rPr>
          <w:rFonts w:ascii="Arial" w:hAnsi="Arial" w:cs="Arial"/>
          <w:color w:val="auto"/>
          <w:sz w:val="22"/>
          <w:lang w:val="es-AR" w:eastAsia="es-AR"/>
        </w:rPr>
        <w:t>; Barcelona</w:t>
      </w:r>
      <w:r w:rsidRPr="00892241">
        <w:rPr>
          <w:rFonts w:ascii="Arial" w:hAnsi="Arial" w:cs="Arial"/>
          <w:color w:val="auto"/>
          <w:sz w:val="22"/>
          <w:lang w:val="es-AR" w:eastAsia="es-AR"/>
        </w:rPr>
        <w:t xml:space="preserve"> en un 19%, y </w:t>
      </w:r>
      <w:r w:rsidR="00443B18">
        <w:rPr>
          <w:rFonts w:ascii="Arial" w:hAnsi="Arial" w:cs="Arial"/>
          <w:color w:val="auto"/>
          <w:sz w:val="22"/>
          <w:lang w:val="es-AR" w:eastAsia="es-AR"/>
        </w:rPr>
        <w:t xml:space="preserve">Manchester United </w:t>
      </w:r>
      <w:r w:rsidRPr="00892241">
        <w:rPr>
          <w:rFonts w:ascii="Arial" w:hAnsi="Arial" w:cs="Arial"/>
          <w:color w:val="auto"/>
          <w:sz w:val="22"/>
          <w:lang w:val="es-AR" w:eastAsia="es-AR"/>
        </w:rPr>
        <w:t xml:space="preserve">en un 4%), esta vez </w:t>
      </w:r>
      <w:r w:rsidR="00443B18">
        <w:rPr>
          <w:rFonts w:ascii="Arial" w:hAnsi="Arial" w:cs="Arial"/>
          <w:color w:val="auto"/>
          <w:sz w:val="22"/>
          <w:lang w:val="es-AR" w:eastAsia="es-AR"/>
        </w:rPr>
        <w:t xml:space="preserve">sus valores económicos </w:t>
      </w:r>
      <w:r w:rsidRPr="00892241">
        <w:rPr>
          <w:rFonts w:ascii="Arial" w:hAnsi="Arial" w:cs="Arial"/>
          <w:color w:val="auto"/>
          <w:sz w:val="22"/>
          <w:lang w:val="es-AR" w:eastAsia="es-AR"/>
        </w:rPr>
        <w:t>cay</w:t>
      </w:r>
      <w:r w:rsidR="00443B18">
        <w:rPr>
          <w:rFonts w:ascii="Arial" w:hAnsi="Arial" w:cs="Arial"/>
          <w:color w:val="auto"/>
          <w:sz w:val="22"/>
          <w:lang w:val="es-AR" w:eastAsia="es-AR"/>
        </w:rPr>
        <w:t>eron</w:t>
      </w:r>
      <w:r w:rsidRPr="00892241">
        <w:rPr>
          <w:rFonts w:ascii="Arial" w:hAnsi="Arial" w:cs="Arial"/>
          <w:color w:val="auto"/>
          <w:sz w:val="22"/>
          <w:lang w:val="es-AR" w:eastAsia="es-AR"/>
        </w:rPr>
        <w:t xml:space="preserve"> </w:t>
      </w:r>
      <w:r w:rsidR="00443B18">
        <w:rPr>
          <w:rFonts w:ascii="Arial" w:hAnsi="Arial" w:cs="Arial"/>
          <w:color w:val="auto"/>
          <w:sz w:val="22"/>
          <w:lang w:val="es-AR" w:eastAsia="es-AR"/>
        </w:rPr>
        <w:t xml:space="preserve">respectivamente </w:t>
      </w:r>
      <w:r w:rsidRPr="00892241">
        <w:rPr>
          <w:rFonts w:ascii="Arial" w:hAnsi="Arial" w:cs="Arial"/>
          <w:color w:val="auto"/>
          <w:sz w:val="22"/>
          <w:lang w:val="es-AR" w:eastAsia="es-AR"/>
        </w:rPr>
        <w:t>16%, 10% y 20%</w:t>
      </w:r>
      <w:r w:rsidR="00443B18">
        <w:rPr>
          <w:rFonts w:ascii="Arial" w:hAnsi="Arial" w:cs="Arial"/>
          <w:color w:val="auto"/>
          <w:sz w:val="22"/>
          <w:lang w:val="es-AR" w:eastAsia="es-AR"/>
        </w:rPr>
        <w:t xml:space="preserve">. </w:t>
      </w:r>
      <w:r w:rsidRPr="00892241">
        <w:rPr>
          <w:rFonts w:ascii="Arial" w:hAnsi="Arial" w:cs="Arial"/>
          <w:color w:val="auto"/>
          <w:sz w:val="22"/>
          <w:lang w:val="es-AR" w:eastAsia="es-AR"/>
        </w:rPr>
        <w:t>Estos tres clubes también quedaron por debajo del umbral de los 3.000 millones de euros que habían logrado superar el año anterior.</w:t>
      </w:r>
    </w:p>
    <w:p w14:paraId="64DEDDA3" w14:textId="68A359AD" w:rsidR="003D4B7C"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La disminución general del VE fue provocada por su deteriorada rentabilidad y por una caída en los ingresos operativos de los 32 clubes, en contraste con el crecimiento constante experimentado durante las cinco temporadas previas al COVID. Los ingresos por transmisión y por partido fueron los más afectados por la pandemia, mientras que los</w:t>
      </w:r>
      <w:r w:rsidR="00491F45">
        <w:rPr>
          <w:rFonts w:ascii="Arial" w:hAnsi="Arial" w:cs="Arial"/>
          <w:color w:val="auto"/>
          <w:sz w:val="22"/>
          <w:lang w:val="es-AR" w:eastAsia="es-AR"/>
        </w:rPr>
        <w:t xml:space="preserve"> </w:t>
      </w:r>
      <w:r w:rsidRPr="00892241">
        <w:rPr>
          <w:rFonts w:ascii="Arial" w:hAnsi="Arial" w:cs="Arial"/>
          <w:color w:val="auto"/>
          <w:sz w:val="22"/>
          <w:lang w:val="es-AR" w:eastAsia="es-AR"/>
        </w:rPr>
        <w:t>comerciales aumentaron ligeramente, principalmente gracias a los acuerdos firmados antes del inicio de la crisis sanitaria. El impacto de la pandemia también es evidente en la rentabilidad de los clubes: solo 7 de los 32 mejores clubes reportaron una ganancia neta; mientras que un año atrás</w:t>
      </w:r>
      <w:r w:rsidR="00222651">
        <w:rPr>
          <w:rFonts w:ascii="Arial" w:hAnsi="Arial" w:cs="Arial"/>
          <w:color w:val="auto"/>
          <w:sz w:val="22"/>
          <w:lang w:val="es-AR" w:eastAsia="es-AR"/>
        </w:rPr>
        <w:t xml:space="preserve"> fueron </w:t>
      </w:r>
      <w:r w:rsidRPr="00892241">
        <w:rPr>
          <w:rFonts w:ascii="Arial" w:hAnsi="Arial" w:cs="Arial"/>
          <w:color w:val="auto"/>
          <w:sz w:val="22"/>
          <w:lang w:val="es-AR" w:eastAsia="es-AR"/>
        </w:rPr>
        <w:t>20</w:t>
      </w:r>
      <w:r w:rsidR="00222651">
        <w:rPr>
          <w:rFonts w:ascii="Arial" w:hAnsi="Arial" w:cs="Arial"/>
          <w:color w:val="auto"/>
          <w:sz w:val="22"/>
          <w:lang w:val="es-AR" w:eastAsia="es-AR"/>
        </w:rPr>
        <w:t xml:space="preserve"> </w:t>
      </w:r>
      <w:r w:rsidRPr="00892241">
        <w:rPr>
          <w:rFonts w:ascii="Arial" w:hAnsi="Arial" w:cs="Arial"/>
          <w:color w:val="auto"/>
          <w:sz w:val="22"/>
          <w:lang w:val="es-AR" w:eastAsia="es-AR"/>
        </w:rPr>
        <w:t xml:space="preserve">los clubes de la élite </w:t>
      </w:r>
      <w:r w:rsidR="00222651">
        <w:rPr>
          <w:rFonts w:ascii="Arial" w:hAnsi="Arial" w:cs="Arial"/>
          <w:color w:val="auto"/>
          <w:sz w:val="22"/>
          <w:lang w:val="es-AR" w:eastAsia="es-AR"/>
        </w:rPr>
        <w:t xml:space="preserve">que mostraron rentabilidad. </w:t>
      </w:r>
      <w:r w:rsidRPr="00892241">
        <w:rPr>
          <w:rFonts w:ascii="Arial" w:hAnsi="Arial" w:cs="Arial"/>
          <w:color w:val="auto"/>
          <w:sz w:val="22"/>
          <w:lang w:val="es-AR" w:eastAsia="es-AR"/>
        </w:rPr>
        <w:t xml:space="preserve"> A pesar de que el VE cayó un 15%, principalmente debido al COVID-19, el</w:t>
      </w:r>
      <w:r w:rsidR="00491F45">
        <w:rPr>
          <w:rFonts w:ascii="Arial" w:hAnsi="Arial" w:cs="Arial"/>
          <w:color w:val="auto"/>
          <w:sz w:val="22"/>
          <w:lang w:val="es-AR" w:eastAsia="es-AR"/>
        </w:rPr>
        <w:t xml:space="preserve"> </w:t>
      </w:r>
      <w:r w:rsidRPr="00892241">
        <w:rPr>
          <w:rFonts w:ascii="Arial" w:hAnsi="Arial" w:cs="Arial"/>
          <w:color w:val="auto"/>
          <w:sz w:val="22"/>
          <w:lang w:val="es-AR" w:eastAsia="es-AR"/>
        </w:rPr>
        <w:t>conjunto de los 32 clubes aumentó un 27% desde 2016.</w:t>
      </w:r>
    </w:p>
    <w:p w14:paraId="46DAC9B7" w14:textId="5DB43636" w:rsidR="00491F45" w:rsidRDefault="00491F45" w:rsidP="00892241">
      <w:pPr>
        <w:spacing w:before="150" w:after="150"/>
        <w:jc w:val="both"/>
        <w:rPr>
          <w:rFonts w:ascii="Arial" w:hAnsi="Arial" w:cs="Arial"/>
          <w:color w:val="auto"/>
          <w:sz w:val="22"/>
          <w:lang w:val="es-AR" w:eastAsia="es-AR"/>
        </w:rPr>
      </w:pPr>
    </w:p>
    <w:p w14:paraId="6590A9D4" w14:textId="77777777" w:rsidR="00222651" w:rsidRPr="00491F45" w:rsidRDefault="00222651" w:rsidP="00892241">
      <w:pPr>
        <w:spacing w:before="150" w:after="150"/>
        <w:jc w:val="both"/>
        <w:rPr>
          <w:rFonts w:ascii="Arial" w:hAnsi="Arial" w:cs="Arial"/>
          <w:color w:val="auto"/>
          <w:sz w:val="22"/>
          <w:lang w:val="es-AR" w:eastAsia="es-AR"/>
        </w:rPr>
      </w:pPr>
    </w:p>
    <w:p w14:paraId="25DD6E29" w14:textId="5F5F44CA" w:rsidR="00892241" w:rsidRPr="00892241" w:rsidRDefault="00892241" w:rsidP="00892241">
      <w:pPr>
        <w:spacing w:before="150" w:after="150"/>
        <w:jc w:val="both"/>
        <w:rPr>
          <w:rFonts w:ascii="Arial" w:hAnsi="Arial" w:cs="Arial"/>
          <w:b/>
          <w:bCs/>
          <w:color w:val="auto"/>
          <w:sz w:val="22"/>
          <w:lang w:val="es-AR" w:eastAsia="es-AR"/>
        </w:rPr>
      </w:pPr>
      <w:r w:rsidRPr="00892241">
        <w:rPr>
          <w:rFonts w:ascii="Arial" w:hAnsi="Arial" w:cs="Arial"/>
          <w:b/>
          <w:bCs/>
          <w:color w:val="auto"/>
          <w:sz w:val="22"/>
          <w:lang w:val="es-AR" w:eastAsia="es-AR"/>
        </w:rPr>
        <w:lastRenderedPageBreak/>
        <w:t>Top 10 vs. el resto: ¿Es este un negocio diferente?</w:t>
      </w:r>
    </w:p>
    <w:p w14:paraId="3AD7F1BD" w14:textId="0090B73E"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xml:space="preserve">El análisis demuestra cómo el modelo operativo de los clubes </w:t>
      </w:r>
      <w:r w:rsidR="00222651">
        <w:rPr>
          <w:rFonts w:ascii="Arial" w:hAnsi="Arial" w:cs="Arial"/>
          <w:color w:val="auto"/>
          <w:sz w:val="22"/>
          <w:lang w:val="es-AR" w:eastAsia="es-AR"/>
        </w:rPr>
        <w:t xml:space="preserve">líderes </w:t>
      </w:r>
      <w:r w:rsidRPr="00892241">
        <w:rPr>
          <w:rFonts w:ascii="Arial" w:hAnsi="Arial" w:cs="Arial"/>
          <w:color w:val="auto"/>
          <w:sz w:val="22"/>
          <w:lang w:val="es-AR" w:eastAsia="es-AR"/>
        </w:rPr>
        <w:t xml:space="preserve">de la pirámide se ha vuelto notablemente diferente al del resto de los clubes europeos, lo que proporciona también un contexto </w:t>
      </w:r>
      <w:r w:rsidR="00222651">
        <w:rPr>
          <w:rFonts w:ascii="Arial" w:hAnsi="Arial" w:cs="Arial"/>
          <w:color w:val="auto"/>
          <w:sz w:val="22"/>
          <w:lang w:val="es-AR" w:eastAsia="es-AR"/>
        </w:rPr>
        <w:t xml:space="preserve">diferenciado </w:t>
      </w:r>
      <w:r w:rsidRPr="00892241">
        <w:rPr>
          <w:rFonts w:ascii="Arial" w:hAnsi="Arial" w:cs="Arial"/>
          <w:color w:val="auto"/>
          <w:sz w:val="22"/>
          <w:lang w:val="es-AR" w:eastAsia="es-AR"/>
        </w:rPr>
        <w:t xml:space="preserve">de intereses que se manejan en los clubes, y </w:t>
      </w:r>
      <w:r w:rsidR="00222651">
        <w:rPr>
          <w:rFonts w:ascii="Arial" w:hAnsi="Arial" w:cs="Arial"/>
          <w:color w:val="auto"/>
          <w:sz w:val="22"/>
          <w:lang w:val="es-AR" w:eastAsia="es-AR"/>
        </w:rPr>
        <w:t xml:space="preserve">que se manifestó en </w:t>
      </w:r>
      <w:r w:rsidRPr="00892241">
        <w:rPr>
          <w:rFonts w:ascii="Arial" w:hAnsi="Arial" w:cs="Arial"/>
          <w:color w:val="auto"/>
          <w:sz w:val="22"/>
          <w:lang w:val="es-AR" w:eastAsia="es-AR"/>
        </w:rPr>
        <w:t>el reciente intento fallido de crear una Superliga europea separatista. De hecho, en cada uno de los seis años bajo análisis, los 10 clubes principales han tenido un mejor desempeño que los otros 22 clubes combinados cuando se consideran los ingresos operativos totales, la relación entre los costos del personal y los ingresos, y el resultado neto. En particular, en la temporada pasada, los ingresos operativos de los 10 clubes principales representaron casi el 60% de los ingresos totales de los 32 clubes, pero solo un tercio de la pérdida neta conjunta.</w:t>
      </w:r>
    </w:p>
    <w:p w14:paraId="0255F4DC" w14:textId="77777777" w:rsidR="00892241" w:rsidRPr="00892241" w:rsidRDefault="00892241" w:rsidP="00892241">
      <w:pPr>
        <w:spacing w:before="150" w:after="150"/>
        <w:jc w:val="both"/>
        <w:rPr>
          <w:rFonts w:ascii="Arial" w:hAnsi="Arial" w:cs="Arial"/>
          <w:b/>
          <w:bCs/>
          <w:color w:val="auto"/>
          <w:sz w:val="22"/>
          <w:lang w:val="es-AR" w:eastAsia="es-AR"/>
        </w:rPr>
      </w:pPr>
      <w:r w:rsidRPr="00892241">
        <w:rPr>
          <w:rFonts w:ascii="Arial" w:hAnsi="Arial" w:cs="Arial"/>
          <w:b/>
          <w:bCs/>
          <w:color w:val="auto"/>
          <w:sz w:val="22"/>
          <w:lang w:val="es-AR" w:eastAsia="es-AR"/>
        </w:rPr>
        <w:t>El impacto del COVID-19 deja perplejos a los clubes de fútbol más allá de la élite europea</w:t>
      </w:r>
    </w:p>
    <w:p w14:paraId="0E7B0A47" w14:textId="19D9A5C2" w:rsidR="00491F45"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xml:space="preserve">En el informe de este año, </w:t>
      </w:r>
      <w:r w:rsidR="00491F45">
        <w:rPr>
          <w:rFonts w:ascii="Arial" w:hAnsi="Arial" w:cs="Arial"/>
          <w:color w:val="auto"/>
          <w:sz w:val="22"/>
          <w:lang w:val="es-AR" w:eastAsia="es-AR"/>
        </w:rPr>
        <w:t xml:space="preserve">se dedica </w:t>
      </w:r>
      <w:r w:rsidRPr="00892241">
        <w:rPr>
          <w:rFonts w:ascii="Arial" w:hAnsi="Arial" w:cs="Arial"/>
          <w:color w:val="auto"/>
          <w:sz w:val="22"/>
          <w:lang w:val="es-AR" w:eastAsia="es-AR"/>
        </w:rPr>
        <w:t xml:space="preserve">un capítulo especial al análisis de los impactos a gran escala del virus. Según </w:t>
      </w:r>
      <w:r w:rsidR="00491F45">
        <w:rPr>
          <w:rFonts w:ascii="Arial" w:hAnsi="Arial" w:cs="Arial"/>
          <w:color w:val="auto"/>
          <w:sz w:val="22"/>
          <w:lang w:val="es-AR" w:eastAsia="es-AR"/>
        </w:rPr>
        <w:t xml:space="preserve">la </w:t>
      </w:r>
      <w:r w:rsidRPr="00892241">
        <w:rPr>
          <w:rFonts w:ascii="Arial" w:hAnsi="Arial" w:cs="Arial"/>
          <w:color w:val="auto"/>
          <w:sz w:val="22"/>
          <w:lang w:val="es-AR" w:eastAsia="es-AR"/>
        </w:rPr>
        <w:t>estimación se prevé que los clubes de la primera división de las 55 federaciones miembro de la UEFA sufri</w:t>
      </w:r>
      <w:r w:rsidR="00222651">
        <w:rPr>
          <w:rFonts w:ascii="Arial" w:hAnsi="Arial" w:cs="Arial"/>
          <w:color w:val="auto"/>
          <w:sz w:val="22"/>
          <w:lang w:val="es-AR" w:eastAsia="es-AR"/>
        </w:rPr>
        <w:t>eron</w:t>
      </w:r>
      <w:r w:rsidRPr="00892241">
        <w:rPr>
          <w:rFonts w:ascii="Arial" w:hAnsi="Arial" w:cs="Arial"/>
          <w:color w:val="auto"/>
          <w:sz w:val="22"/>
          <w:lang w:val="es-AR" w:eastAsia="es-AR"/>
        </w:rPr>
        <w:t xml:space="preserve"> </w:t>
      </w:r>
      <w:r w:rsidR="00222651">
        <w:rPr>
          <w:rFonts w:ascii="Arial" w:hAnsi="Arial" w:cs="Arial"/>
          <w:color w:val="auto"/>
          <w:sz w:val="22"/>
          <w:lang w:val="es-AR" w:eastAsia="es-AR"/>
        </w:rPr>
        <w:t xml:space="preserve">juntas </w:t>
      </w:r>
      <w:r w:rsidRPr="00892241">
        <w:rPr>
          <w:rFonts w:ascii="Arial" w:hAnsi="Arial" w:cs="Arial"/>
          <w:color w:val="auto"/>
          <w:sz w:val="22"/>
          <w:lang w:val="es-AR" w:eastAsia="es-AR"/>
        </w:rPr>
        <w:t xml:space="preserve">una caída anual del 11% en sus ingresos operativos totales </w:t>
      </w:r>
      <w:r w:rsidR="00491F45">
        <w:rPr>
          <w:rFonts w:ascii="Arial" w:hAnsi="Arial" w:cs="Arial"/>
          <w:color w:val="auto"/>
          <w:sz w:val="22"/>
          <w:lang w:val="es-AR" w:eastAsia="es-AR"/>
        </w:rPr>
        <w:t xml:space="preserve">     </w:t>
      </w:r>
      <w:proofErr w:type="gramStart"/>
      <w:r w:rsidR="00491F45">
        <w:rPr>
          <w:rFonts w:ascii="Arial" w:hAnsi="Arial" w:cs="Arial"/>
          <w:color w:val="auto"/>
          <w:sz w:val="22"/>
          <w:lang w:val="es-AR" w:eastAsia="es-AR"/>
        </w:rPr>
        <w:t xml:space="preserve">   </w:t>
      </w:r>
      <w:r w:rsidRPr="00892241">
        <w:rPr>
          <w:rFonts w:ascii="Arial" w:hAnsi="Arial" w:cs="Arial"/>
          <w:color w:val="auto"/>
          <w:sz w:val="22"/>
          <w:lang w:val="es-AR" w:eastAsia="es-AR"/>
        </w:rPr>
        <w:t>(</w:t>
      </w:r>
      <w:proofErr w:type="gramEnd"/>
      <w:r w:rsidRPr="00892241">
        <w:rPr>
          <w:rFonts w:ascii="Arial" w:hAnsi="Arial" w:cs="Arial"/>
          <w:color w:val="auto"/>
          <w:sz w:val="22"/>
          <w:lang w:val="es-AR" w:eastAsia="es-AR"/>
        </w:rPr>
        <w:t>- 2.500 / 2.700 millones de euros) durante la temporada 2019/20, respecto de los niveles registrados en la temporada 2016/17. Los valores de los jugadores tampoco han sido inmunes</w:t>
      </w:r>
      <w:r w:rsidR="00222651">
        <w:rPr>
          <w:rFonts w:ascii="Arial" w:hAnsi="Arial" w:cs="Arial"/>
          <w:color w:val="auto"/>
          <w:sz w:val="22"/>
          <w:lang w:val="es-AR" w:eastAsia="es-AR"/>
        </w:rPr>
        <w:t xml:space="preserve"> a la </w:t>
      </w:r>
      <w:proofErr w:type="spellStart"/>
      <w:r w:rsidR="00222651">
        <w:rPr>
          <w:rFonts w:ascii="Arial" w:hAnsi="Arial" w:cs="Arial"/>
          <w:color w:val="auto"/>
          <w:sz w:val="22"/>
          <w:lang w:val="es-AR" w:eastAsia="es-AR"/>
        </w:rPr>
        <w:t>caida</w:t>
      </w:r>
      <w:proofErr w:type="spellEnd"/>
      <w:r w:rsidRPr="00892241">
        <w:rPr>
          <w:rFonts w:ascii="Arial" w:hAnsi="Arial" w:cs="Arial"/>
          <w:color w:val="auto"/>
          <w:sz w:val="22"/>
          <w:lang w:val="es-AR" w:eastAsia="es-AR"/>
        </w:rPr>
        <w:t xml:space="preserve">: el valor conjunto de mercado de los 500 jugadores de fútbol más valiosos ha disminuido un 10% entre febrero de 2020 y abril de 2021. </w:t>
      </w:r>
    </w:p>
    <w:p w14:paraId="369F5B2A" w14:textId="4DB8CCAE"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Además, las cifras de los resultados netos para la temporada 2019/20 ofrecen un panorama espantoso respecto de las consecuencias del COVID-19. Los 80 clubes, incluidos todos los gigantes del fútbol europeo, que han hecho públicos sus resultados financieros hasta el momento, registraron una pérdida neta conjunta de 2.040 millones de euros; lo que significa que dicha muestra de alrededor del 10% de los aproximadamente 700 clubes de primera división de la UEFA ya han acumulado más pérdidas en la temporada 2019/20 que el récord negativo general anterior de 1.700 millones de euros en pérdidas registradas en 2010/11, antes de que comenzara a implementarse la política de Juego Limpio Financiero de la UEFA.</w:t>
      </w:r>
    </w:p>
    <w:p w14:paraId="41D10778" w14:textId="77777777" w:rsidR="00467C47" w:rsidRDefault="00467C47" w:rsidP="00892241">
      <w:pPr>
        <w:spacing w:before="150" w:after="150"/>
        <w:jc w:val="both"/>
        <w:rPr>
          <w:rFonts w:ascii="Arial" w:hAnsi="Arial" w:cs="Arial"/>
          <w:color w:val="auto"/>
          <w:sz w:val="22"/>
          <w:lang w:val="es-AR" w:eastAsia="es-AR"/>
        </w:rPr>
      </w:pPr>
    </w:p>
    <w:p w14:paraId="458D05E0" w14:textId="77777777" w:rsidR="003D4B7C" w:rsidRDefault="00892241" w:rsidP="00491F45">
      <w:pPr>
        <w:spacing w:before="150" w:after="150"/>
        <w:jc w:val="center"/>
        <w:rPr>
          <w:rFonts w:ascii="Arial" w:hAnsi="Arial" w:cs="Arial"/>
          <w:lang w:eastAsia="es-AR"/>
        </w:rPr>
      </w:pPr>
      <w:r w:rsidRPr="00167414">
        <w:rPr>
          <w:rFonts w:ascii="Arial" w:hAnsi="Arial" w:cs="Arial"/>
          <w:noProof/>
          <w:color w:val="333333"/>
          <w:sz w:val="21"/>
          <w:szCs w:val="21"/>
          <w:lang w:val="en" w:eastAsia="es-AR"/>
        </w:rPr>
        <w:drawing>
          <wp:inline distT="0" distB="0" distL="0" distR="0" wp14:anchorId="0FD3D3DC" wp14:editId="7BD541DE">
            <wp:extent cx="3695700"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14:paraId="502B3C56" w14:textId="4D11F912" w:rsidR="00892241" w:rsidRPr="00BF0D80" w:rsidRDefault="00892241" w:rsidP="003D4B7C">
      <w:pPr>
        <w:spacing w:before="150" w:after="150"/>
        <w:rPr>
          <w:rFonts w:ascii="Arial" w:hAnsi="Arial" w:cs="Arial"/>
          <w:lang w:val="es-AR" w:eastAsia="es-AR"/>
        </w:rPr>
      </w:pPr>
      <w:r w:rsidRPr="00892241">
        <w:rPr>
          <w:rFonts w:ascii="Arial" w:hAnsi="Arial" w:cs="Arial"/>
          <w:b/>
          <w:bCs/>
          <w:color w:val="auto"/>
          <w:sz w:val="22"/>
          <w:lang w:val="es-AR" w:eastAsia="es-AR"/>
        </w:rPr>
        <w:lastRenderedPageBreak/>
        <w:t>Se necesitan reformas</w:t>
      </w:r>
    </w:p>
    <w:p w14:paraId="25B694FF" w14:textId="77777777" w:rsidR="00892241" w:rsidRPr="00892241" w:rsidRDefault="00892241" w:rsidP="00892241">
      <w:pPr>
        <w:spacing w:before="150" w:after="150"/>
        <w:jc w:val="both"/>
        <w:rPr>
          <w:rFonts w:ascii="Arial" w:hAnsi="Arial" w:cs="Arial"/>
          <w:color w:val="auto"/>
          <w:sz w:val="22"/>
          <w:lang w:val="es-AR" w:eastAsia="es-AR"/>
        </w:rPr>
      </w:pPr>
      <w:r w:rsidRPr="00892241">
        <w:rPr>
          <w:rFonts w:ascii="Arial" w:hAnsi="Arial" w:cs="Arial"/>
          <w:color w:val="auto"/>
          <w:sz w:val="22"/>
          <w:lang w:val="es-AR" w:eastAsia="es-AR"/>
        </w:rPr>
        <w:t xml:space="preserve">Además de sus devastadores efectos económicos, la crisis sanitaria mundial también ha acentuado los problemas subyacentes ya presentes en los modelos de negocio de los clubes de fútbol. </w:t>
      </w:r>
    </w:p>
    <w:p w14:paraId="687EC7BC" w14:textId="3904644D" w:rsidR="00892241" w:rsidRPr="00491F45" w:rsidRDefault="00892241" w:rsidP="00892241">
      <w:pPr>
        <w:spacing w:before="150" w:after="150"/>
        <w:jc w:val="both"/>
        <w:rPr>
          <w:rFonts w:ascii="Arial" w:hAnsi="Arial" w:cs="Arial"/>
          <w:b/>
          <w:bCs/>
          <w:color w:val="auto"/>
          <w:sz w:val="22"/>
          <w:lang w:val="es-AR" w:eastAsia="es-AR"/>
        </w:rPr>
      </w:pPr>
      <w:r w:rsidRPr="00892241">
        <w:rPr>
          <w:rFonts w:ascii="Arial" w:hAnsi="Arial" w:cs="Arial"/>
          <w:i/>
          <w:iCs/>
          <w:color w:val="auto"/>
          <w:sz w:val="22"/>
          <w:lang w:val="es-AR" w:eastAsia="es-AR"/>
        </w:rPr>
        <w:t xml:space="preserve">“En el ambiente actual del fútbol, altamente interconectado, se necesitan reformas. Se debe adoptar un enfoque holístico que involucre a todas las partes interesadas. Se debe revisar la gobernanza y la redistribución del poder, la reducción del tamaño de las ligas y la racionalización de los calendarios de los partidos, el equilibrio del mérito deportivo con la previsibilidad financiera, la creación de ligas regionales mediante la fusión de ligas nacionales más pequeñas y, por </w:t>
      </w:r>
      <w:proofErr w:type="gramStart"/>
      <w:r w:rsidR="004C3EAC" w:rsidRPr="00892241">
        <w:rPr>
          <w:rFonts w:ascii="Arial" w:hAnsi="Arial" w:cs="Arial"/>
          <w:i/>
          <w:iCs/>
          <w:color w:val="auto"/>
          <w:sz w:val="22"/>
          <w:lang w:val="es-AR" w:eastAsia="es-AR"/>
        </w:rPr>
        <w:t>último</w:t>
      </w:r>
      <w:proofErr w:type="gramEnd"/>
      <w:r w:rsidRPr="00892241">
        <w:rPr>
          <w:rFonts w:ascii="Arial" w:hAnsi="Arial" w:cs="Arial"/>
          <w:i/>
          <w:iCs/>
          <w:color w:val="auto"/>
          <w:sz w:val="22"/>
          <w:lang w:val="es-AR" w:eastAsia="es-AR"/>
        </w:rPr>
        <w:t xml:space="preserve"> pero no menos importante, el rediseño de las normas FFP centrándose en mecanismos de control de costos más estrictos. Éstas son algunas de las reformas que se deben considerar”,</w:t>
      </w:r>
      <w:r w:rsidRPr="00892241">
        <w:rPr>
          <w:rFonts w:ascii="Arial" w:hAnsi="Arial" w:cs="Arial"/>
          <w:color w:val="auto"/>
          <w:sz w:val="22"/>
          <w:lang w:val="es-AR" w:eastAsia="es-AR"/>
        </w:rPr>
        <w:t xml:space="preserve"> señaló </w:t>
      </w:r>
      <w:r w:rsidRPr="00892241">
        <w:rPr>
          <w:rFonts w:ascii="Arial" w:hAnsi="Arial" w:cs="Arial"/>
          <w:b/>
          <w:bCs/>
          <w:color w:val="auto"/>
          <w:sz w:val="22"/>
          <w:lang w:val="es-AR" w:eastAsia="es-AR"/>
        </w:rPr>
        <w:t>Andrea Sartori</w:t>
      </w:r>
      <w:r w:rsidRPr="00491F45">
        <w:rPr>
          <w:rFonts w:ascii="Arial" w:hAnsi="Arial" w:cs="Arial"/>
          <w:b/>
          <w:bCs/>
          <w:color w:val="auto"/>
          <w:sz w:val="22"/>
          <w:lang w:val="es-AR" w:eastAsia="es-AR"/>
        </w:rPr>
        <w:t>, líder mundial de Deportes de KPMG y autor del informe.</w:t>
      </w:r>
    </w:p>
    <w:p w14:paraId="62C173FA" w14:textId="3CB6D347" w:rsidR="00892241" w:rsidRPr="00892241" w:rsidRDefault="00892241" w:rsidP="00892241">
      <w:pPr>
        <w:spacing w:before="150" w:after="150"/>
        <w:jc w:val="both"/>
        <w:rPr>
          <w:rFonts w:ascii="Arial" w:hAnsi="Arial" w:cs="Arial"/>
          <w:b/>
          <w:bCs/>
          <w:color w:val="auto"/>
          <w:sz w:val="22"/>
          <w:lang w:val="es-AR" w:eastAsia="es-AR"/>
        </w:rPr>
      </w:pPr>
      <w:r w:rsidRPr="00892241">
        <w:rPr>
          <w:rFonts w:ascii="Arial" w:hAnsi="Arial" w:cs="Arial"/>
          <w:i/>
          <w:iCs/>
          <w:color w:val="auto"/>
          <w:sz w:val="22"/>
          <w:lang w:val="es-AR" w:eastAsia="es-AR"/>
        </w:rPr>
        <w:t>“Durante años, las partes de la industria se han centrado en sus posiciones individuales para proteger los intereses de sus propias organizaciones, sin tener en cuenta los efectos colaterales de sus expectativas y ambiciones en la industria en general. Es hora de que se den cuenta y acepten que el fútbol ha sufrido una transformación vital en los últimos años, principalmente provocada por el cambio de hábitos de los consumidores y la digitalización que, a su vez, ha llevado a la globalización de la industria, beneficiando principalmente a los grandes clubes y ligas. Para mejorar el estado del fútbol europeo, es necesario que todas las partes en todos los niveles muestren una flexibilidad, sabiduría, responsabilidad y cooperación sin precedentes. No hay otra forma de salvar este hermoso juego y hacerlo sostenible en beneficio de todas las partes involucradas, especialmente de los jugadores y aficionados de todo el mundo, los protagonistas más importantes del fútbol</w:t>
      </w:r>
      <w:r w:rsidRPr="00892241">
        <w:rPr>
          <w:rFonts w:ascii="Arial" w:hAnsi="Arial" w:cs="Arial"/>
          <w:color w:val="auto"/>
          <w:sz w:val="22"/>
          <w:lang w:val="es-AR" w:eastAsia="es-AR"/>
        </w:rPr>
        <w:t xml:space="preserve">”, concluyó </w:t>
      </w:r>
      <w:r w:rsidRPr="00892241">
        <w:rPr>
          <w:rFonts w:ascii="Arial" w:hAnsi="Arial" w:cs="Arial"/>
          <w:b/>
          <w:bCs/>
          <w:color w:val="auto"/>
          <w:sz w:val="22"/>
          <w:lang w:val="es-AR" w:eastAsia="es-AR"/>
        </w:rPr>
        <w:t xml:space="preserve">Andrea </w:t>
      </w:r>
      <w:proofErr w:type="gramStart"/>
      <w:r w:rsidRPr="00892241">
        <w:rPr>
          <w:rFonts w:ascii="Arial" w:hAnsi="Arial" w:cs="Arial"/>
          <w:b/>
          <w:bCs/>
          <w:color w:val="auto"/>
          <w:sz w:val="22"/>
          <w:lang w:val="es-AR" w:eastAsia="es-AR"/>
        </w:rPr>
        <w:t>Sartori.</w:t>
      </w:r>
      <w:r w:rsidR="004C3EAC">
        <w:rPr>
          <w:rFonts w:ascii="Arial" w:hAnsi="Arial" w:cs="Arial"/>
          <w:b/>
          <w:bCs/>
          <w:color w:val="auto"/>
          <w:sz w:val="22"/>
          <w:lang w:val="es-AR" w:eastAsia="es-AR"/>
        </w:rPr>
        <w:t>-</w:t>
      </w:r>
      <w:proofErr w:type="gramEnd"/>
    </w:p>
    <w:p w14:paraId="328B2140" w14:textId="5EA831FA" w:rsidR="00892241" w:rsidRDefault="00892241" w:rsidP="00892241">
      <w:pPr>
        <w:rPr>
          <w:lang w:val="es-AR"/>
        </w:rPr>
      </w:pPr>
    </w:p>
    <w:p w14:paraId="759228E5" w14:textId="77777777" w:rsidR="00467C47" w:rsidRPr="00892241" w:rsidRDefault="00467C47" w:rsidP="00892241">
      <w:pPr>
        <w:rPr>
          <w:lang w:val="es-AR"/>
        </w:rPr>
      </w:pPr>
    </w:p>
    <w:p w14:paraId="5B26BB34" w14:textId="77777777" w:rsidR="00467C47" w:rsidRPr="00467C47" w:rsidRDefault="00467C47" w:rsidP="00467C47">
      <w:pPr>
        <w:spacing w:before="0" w:after="0"/>
        <w:jc w:val="center"/>
        <w:rPr>
          <w:rFonts w:ascii="Arial" w:hAnsi="Arial" w:cs="Arial"/>
          <w:i/>
          <w:iCs/>
          <w:color w:val="auto"/>
          <w:sz w:val="20"/>
          <w:szCs w:val="20"/>
          <w:lang w:val="es-AR" w:eastAsia="es-AR"/>
        </w:rPr>
      </w:pPr>
      <w:r w:rsidRPr="00467C47">
        <w:rPr>
          <w:rFonts w:ascii="Arial" w:hAnsi="Arial" w:cs="Arial"/>
          <w:i/>
          <w:iCs/>
          <w:color w:val="auto"/>
          <w:sz w:val="20"/>
          <w:szCs w:val="20"/>
          <w:lang w:val="es-AR" w:eastAsia="es-AR"/>
        </w:rPr>
        <w:t>Para acceder al informe completo</w:t>
      </w:r>
    </w:p>
    <w:p w14:paraId="77E8B332" w14:textId="77777777" w:rsidR="00467C47" w:rsidRPr="00467C47" w:rsidRDefault="00467C47" w:rsidP="00467C47">
      <w:pPr>
        <w:spacing w:before="0" w:after="0"/>
        <w:jc w:val="center"/>
        <w:rPr>
          <w:rFonts w:ascii="Arial" w:hAnsi="Arial" w:cs="Arial"/>
          <w:b/>
          <w:bCs/>
          <w:i/>
          <w:iCs/>
          <w:color w:val="0070C0"/>
          <w:sz w:val="18"/>
          <w:szCs w:val="18"/>
          <w:lang w:val="es-AR" w:eastAsia="es-AR"/>
        </w:rPr>
      </w:pPr>
      <w:r w:rsidRPr="00467C47">
        <w:rPr>
          <w:rFonts w:ascii="Arial" w:hAnsi="Arial" w:cs="Arial"/>
          <w:b/>
          <w:bCs/>
          <w:i/>
          <w:iCs/>
          <w:color w:val="0070C0"/>
          <w:sz w:val="18"/>
          <w:szCs w:val="18"/>
          <w:lang w:val="es-AR" w:eastAsia="es-AR"/>
        </w:rPr>
        <w:t>https://www.footballbenchmark.com/documents/files/KPMG%20The%20European%20Elite%202021.pdf</w:t>
      </w:r>
    </w:p>
    <w:p w14:paraId="3A166372" w14:textId="341ECDEC" w:rsidR="00892241" w:rsidRPr="008D3B12" w:rsidRDefault="00892241" w:rsidP="00542CAE">
      <w:pPr>
        <w:pStyle w:val="Volanta"/>
        <w:tabs>
          <w:tab w:val="left" w:pos="8025"/>
        </w:tabs>
        <w:jc w:val="both"/>
        <w:rPr>
          <w:rFonts w:ascii="Arial" w:hAnsi="Arial" w:cs="Arial"/>
          <w:b w:val="0"/>
          <w:color w:val="auto"/>
          <w:kern w:val="0"/>
          <w:sz w:val="22"/>
          <w:szCs w:val="22"/>
          <w:lang w:val="es-AR"/>
        </w:rPr>
        <w:sectPr w:rsidR="00892241" w:rsidRPr="008D3B12" w:rsidSect="00295E19">
          <w:footerReference w:type="default" r:id="rId13"/>
          <w:headerReference w:type="first" r:id="rId14"/>
          <w:type w:val="continuous"/>
          <w:pgSz w:w="11907" w:h="16839" w:code="9"/>
          <w:pgMar w:top="1440" w:right="1107" w:bottom="1440" w:left="1080" w:header="360" w:footer="720" w:gutter="0"/>
          <w:cols w:space="720"/>
          <w:titlePg/>
          <w:docGrid w:linePitch="360"/>
        </w:sectPr>
      </w:pPr>
    </w:p>
    <w:p w14:paraId="70C93F40" w14:textId="352F884A" w:rsidR="003F0655" w:rsidRDefault="003F0655" w:rsidP="00A203FA">
      <w:pPr>
        <w:spacing w:before="0" w:after="0"/>
        <w:rPr>
          <w:color w:val="auto"/>
          <w:sz w:val="22"/>
          <w:lang w:val="es-AR"/>
        </w:rPr>
      </w:pPr>
    </w:p>
    <w:p w14:paraId="7B8C53EC" w14:textId="517C8B28" w:rsidR="00467C47" w:rsidRDefault="00467C47" w:rsidP="00A203FA">
      <w:pPr>
        <w:spacing w:before="0" w:after="0"/>
        <w:rPr>
          <w:color w:val="auto"/>
          <w:sz w:val="22"/>
          <w:lang w:val="es-AR"/>
        </w:rPr>
      </w:pPr>
    </w:p>
    <w:p w14:paraId="31F35247" w14:textId="77777777" w:rsidR="00467C47" w:rsidRPr="00054C16" w:rsidRDefault="00467C47"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7551FA" w14:paraId="35D5F351" w14:textId="77777777" w:rsidTr="007E56CC">
        <w:trPr>
          <w:trHeight w:val="1659"/>
        </w:trPr>
        <w:tc>
          <w:tcPr>
            <w:tcW w:w="9402" w:type="dxa"/>
            <w:vAlign w:val="center"/>
          </w:tcPr>
          <w:p w14:paraId="74AAC54F" w14:textId="77777777" w:rsidR="00E17636" w:rsidRPr="003858E8" w:rsidRDefault="00E17636" w:rsidP="00070F68">
            <w:pPr>
              <w:keepNext/>
              <w:spacing w:before="0" w:after="0"/>
              <w:mirrorIndents/>
              <w:outlineLvl w:val="2"/>
              <w:rPr>
                <w:rFonts w:ascii="Arial" w:hAnsi="Arial" w:cs="Arial"/>
                <w:b/>
                <w:bCs/>
                <w:color w:val="FFFFFF" w:themeColor="background1"/>
                <w:sz w:val="24"/>
                <w:szCs w:val="24"/>
                <w:lang w:val="es-MX"/>
              </w:rPr>
            </w:pPr>
            <w:r w:rsidRPr="003858E8">
              <w:rPr>
                <w:rFonts w:ascii="Arial" w:hAnsi="Arial" w:cs="Arial"/>
                <w:b/>
                <w:bCs/>
                <w:color w:val="FFFFFF" w:themeColor="background1"/>
                <w:sz w:val="24"/>
                <w:szCs w:val="24"/>
                <w:lang w:val="es-MX"/>
              </w:rPr>
              <w:t>Acerca de KPMG Internacional</w:t>
            </w:r>
          </w:p>
          <w:p w14:paraId="56605FBC" w14:textId="77777777" w:rsidR="00E17636" w:rsidRPr="00E17636" w:rsidRDefault="00E17636" w:rsidP="00E17636">
            <w:pPr>
              <w:spacing w:before="0" w:after="0"/>
              <w:rPr>
                <w:lang w:val="es-MX"/>
              </w:rPr>
            </w:pPr>
          </w:p>
          <w:p w14:paraId="2B56A3C8" w14:textId="3F6A2F52" w:rsidR="004D761B" w:rsidRPr="00331AD8" w:rsidRDefault="003858E8" w:rsidP="003858E8">
            <w:pPr>
              <w:widowControl w:val="0"/>
              <w:autoSpaceDE w:val="0"/>
              <w:autoSpaceDN w:val="0"/>
              <w:spacing w:before="2" w:after="0"/>
              <w:ind w:right="170"/>
              <w:rPr>
                <w:rFonts w:ascii="Arial" w:hAnsi="Arial" w:cs="Arial"/>
                <w:color w:val="FFFFFF" w:themeColor="background1"/>
              </w:rPr>
            </w:pPr>
            <w:r w:rsidRPr="003858E8">
              <w:rPr>
                <w:rFonts w:ascii="Arial" w:hAnsi="Arial" w:cs="Arial"/>
                <w:color w:val="FFFFFF" w:themeColor="background1"/>
                <w:sz w:val="18"/>
                <w:lang w:val="es-AR"/>
              </w:rPr>
              <w:t>KPMG es una organización global de firmas de servicios profesionales independientes que brindan servicios de auditoría, impuestos y asesoría. Operamos en 146 países y jurisdicciones y contamos con 227.000 personas trabajando en firmas miembro en todo el mundo. Cada firma de KPMG es una entidad legalmente distinta y separada y se describe a sí misma como tal. KPMG International Limited es una entidad privada inglesa limitada por garantía. KPMG International Limited no brinda servicios a los clientes</w:t>
            </w:r>
            <w:r w:rsidRPr="00573E71">
              <w:rPr>
                <w:rFonts w:ascii="Arial" w:hAnsi="Arial" w:cs="Arial"/>
                <w:color w:val="FFFFFF" w:themeColor="background1"/>
                <w:lang w:val="es-ES_tradnl"/>
              </w:rPr>
              <w:t>.</w:t>
            </w:r>
            <w:r w:rsidRPr="00573F0A">
              <w:rPr>
                <w:rFonts w:ascii="Arial" w:hAnsi="Arial" w:cs="Arial"/>
                <w:lang w:val="es-ES_tradnl"/>
              </w:rPr>
              <w:br/>
            </w: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BF0D80" w14:paraId="246E0BF5" w14:textId="77777777" w:rsidTr="007E56CC">
        <w:trPr>
          <w:trHeight w:val="1479"/>
        </w:trPr>
        <w:tc>
          <w:tcPr>
            <w:tcW w:w="9402" w:type="dxa"/>
            <w:vAlign w:val="center"/>
          </w:tcPr>
          <w:p w14:paraId="5F4E0307" w14:textId="4237034E" w:rsidR="00731B15" w:rsidRPr="00731B15" w:rsidRDefault="003858E8" w:rsidP="00070F68">
            <w:pPr>
              <w:pStyle w:val="Heading3"/>
              <w:spacing w:before="0" w:after="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721EBDB6"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36018F98" w14:textId="78CDA288" w:rsidR="00CC11C8" w:rsidRDefault="00CC11C8" w:rsidP="008C2C04">
      <w:pPr>
        <w:pStyle w:val="acerca-kpmg"/>
        <w:mirrorIndents/>
        <w:rPr>
          <w:rFonts w:ascii="Arial" w:hAnsi="Arial" w:cs="Arial"/>
        </w:rPr>
      </w:pPr>
    </w:p>
    <w:p w14:paraId="03E142CE" w14:textId="73CC9500" w:rsidR="00467C47" w:rsidRDefault="00467C47" w:rsidP="008C2C04">
      <w:pPr>
        <w:pStyle w:val="acerca-kpmg"/>
        <w:mirrorIndents/>
        <w:rPr>
          <w:rFonts w:ascii="Arial" w:hAnsi="Arial" w:cs="Arial"/>
        </w:rPr>
      </w:pPr>
    </w:p>
    <w:p w14:paraId="0A7D1BBC" w14:textId="7C9DC326" w:rsidR="00467C47" w:rsidRDefault="00467C47" w:rsidP="008C2C04">
      <w:pPr>
        <w:pStyle w:val="acerca-kpmg"/>
        <w:mirrorIndents/>
        <w:rPr>
          <w:rFonts w:ascii="Arial" w:hAnsi="Arial" w:cs="Arial"/>
        </w:rPr>
      </w:pPr>
    </w:p>
    <w:p w14:paraId="4B54906D" w14:textId="063576C0" w:rsidR="00467C47" w:rsidRDefault="00467C47" w:rsidP="008C2C04">
      <w:pPr>
        <w:pStyle w:val="acerca-kpmg"/>
        <w:mirrorIndents/>
        <w:rPr>
          <w:rFonts w:ascii="Arial" w:hAnsi="Arial" w:cs="Arial"/>
        </w:rPr>
      </w:pPr>
    </w:p>
    <w:p w14:paraId="4C194C5C" w14:textId="01935080" w:rsidR="00467C47" w:rsidRDefault="00467C47" w:rsidP="008C2C04">
      <w:pPr>
        <w:pStyle w:val="acerca-kpmg"/>
        <w:mirrorIndents/>
        <w:rPr>
          <w:rFonts w:ascii="Arial" w:hAnsi="Arial" w:cs="Arial"/>
        </w:rPr>
      </w:pPr>
    </w:p>
    <w:p w14:paraId="0B83E145" w14:textId="77777777" w:rsidR="00467C47" w:rsidRPr="00207140" w:rsidRDefault="00467C47"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lastRenderedPageBreak/>
              <w:t>Contactos</w:t>
            </w:r>
            <w:proofErr w:type="spellEnd"/>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4C3EAC" w:rsidP="00295E19">
            <w:pPr>
              <w:spacing w:before="0" w:after="0"/>
              <w:ind w:left="90"/>
              <w:rPr>
                <w:rStyle w:val="BookTitle"/>
                <w:rFonts w:ascii="Arial" w:hAnsi="Arial" w:cs="Arial"/>
                <w:b w:val="0"/>
                <w:color w:val="auto"/>
                <w:szCs w:val="18"/>
                <w:lang w:val="nl-NL"/>
              </w:rPr>
            </w:pPr>
            <w:hyperlink r:id="rId15"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4C3EAC" w:rsidP="00A6516F">
            <w:pPr>
              <w:spacing w:before="0" w:after="0"/>
              <w:ind w:left="90"/>
              <w:rPr>
                <w:rStyle w:val="BookTitle"/>
                <w:rFonts w:ascii="Arial" w:hAnsi="Arial"/>
                <w:b w:val="0"/>
                <w:bCs w:val="0"/>
                <w:color w:val="auto"/>
              </w:rPr>
            </w:pPr>
            <w:hyperlink r:id="rId16"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0323619D" w14:textId="77777777" w:rsidR="009F23EC" w:rsidRDefault="009F23EC" w:rsidP="00295E19">
            <w:pPr>
              <w:pStyle w:val="contactos"/>
              <w:tabs>
                <w:tab w:val="left" w:pos="1845"/>
              </w:tabs>
              <w:ind w:left="90"/>
              <w:rPr>
                <w:rFonts w:ascii="Arial" w:hAnsi="Arial" w:cs="Arial"/>
                <w:sz w:val="22"/>
              </w:rPr>
            </w:pPr>
          </w:p>
          <w:p w14:paraId="379CC2D3" w14:textId="52E485A5" w:rsidR="009C2DF7" w:rsidRPr="00467C47" w:rsidRDefault="004C3EAC" w:rsidP="00295E19">
            <w:pPr>
              <w:pStyle w:val="contactos"/>
              <w:tabs>
                <w:tab w:val="left" w:pos="1845"/>
              </w:tabs>
              <w:ind w:left="90"/>
              <w:rPr>
                <w:rFonts w:ascii="Arial" w:hAnsi="Arial" w:cs="Arial"/>
                <w:color w:val="0070C0"/>
                <w:sz w:val="20"/>
                <w:szCs w:val="20"/>
              </w:rPr>
            </w:pPr>
            <w:hyperlink r:id="rId17" w:history="1">
              <w:r w:rsidR="009F23EC" w:rsidRPr="00467C47">
                <w:rPr>
                  <w:rStyle w:val="Hyperlink"/>
                  <w:rFonts w:ascii="Arial" w:hAnsi="Arial" w:cs="Arial"/>
                  <w:color w:val="0070C0"/>
                  <w:sz w:val="20"/>
                  <w:szCs w:val="20"/>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9"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20" w:tgtFrame="_blank" w:history="1">
              <w:r w:rsidRPr="00A45F94">
                <w:rPr>
                  <w:rStyle w:val="Hyperlink"/>
                  <w:b/>
                </w:rPr>
                <w:t>kpmg.com/socialmedia</w:t>
              </w:r>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4C3EAC" w:rsidP="00837716">
            <w:pPr>
              <w:rPr>
                <w:b/>
              </w:rPr>
            </w:pPr>
            <w:hyperlink r:id="rId21"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2">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@KPMGArgentina</w:t>
            </w:r>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4">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6">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8">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4C3EAC" w:rsidP="003F0546">
            <w:pPr>
              <w:rPr>
                <w:b/>
              </w:rPr>
            </w:pPr>
            <w:hyperlink r:id="rId29"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1"/>
      <w:headerReference w:type="first" r:id="rId32"/>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41BB" w14:textId="77777777" w:rsidR="00885FF8" w:rsidRDefault="00885FF8" w:rsidP="00942A00">
      <w:pPr>
        <w:spacing w:before="0" w:after="0"/>
      </w:pPr>
      <w:r>
        <w:separator/>
      </w:r>
    </w:p>
  </w:endnote>
  <w:endnote w:type="continuationSeparator" w:id="0">
    <w:p w14:paraId="506D57B7" w14:textId="77777777" w:rsidR="00885FF8" w:rsidRDefault="00885FF8"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AEB" w14:textId="793F758E"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892241">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007" w14:textId="24833384" w:rsidR="007A0EF1" w:rsidRPr="007A0EF1" w:rsidRDefault="007A0EF1" w:rsidP="007A0EF1">
    <w:pPr>
      <w:rPr>
        <w:rFonts w:ascii="Calibri" w:hAnsi="Calibri"/>
        <w:color w:val="auto"/>
        <w:sz w:val="14"/>
        <w:szCs w:val="14"/>
        <w:lang w:val="es-AR"/>
      </w:rPr>
    </w:pPr>
    <w:bookmarkStart w:id="0"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0"/>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5730" w14:textId="77777777" w:rsidR="00885FF8" w:rsidRDefault="00885FF8" w:rsidP="00942A00">
      <w:pPr>
        <w:spacing w:before="0" w:after="0"/>
      </w:pPr>
      <w:r>
        <w:separator/>
      </w:r>
    </w:p>
  </w:footnote>
  <w:footnote w:type="continuationSeparator" w:id="0">
    <w:p w14:paraId="2F6D4323" w14:textId="77777777" w:rsidR="00885FF8" w:rsidRDefault="00885FF8"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79E378AF"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BF0D80">
            <w:rPr>
              <w:noProof/>
              <w:lang w:val="es-AR"/>
            </w:rPr>
            <w:t>02 de junio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6DE"/>
    <w:rsid w:val="00031CC1"/>
    <w:rsid w:val="00046620"/>
    <w:rsid w:val="00050E2D"/>
    <w:rsid w:val="0005412E"/>
    <w:rsid w:val="00054C16"/>
    <w:rsid w:val="00062A4E"/>
    <w:rsid w:val="00070F68"/>
    <w:rsid w:val="00075A3D"/>
    <w:rsid w:val="00083C36"/>
    <w:rsid w:val="00085855"/>
    <w:rsid w:val="000A08B8"/>
    <w:rsid w:val="000A5902"/>
    <w:rsid w:val="000B600B"/>
    <w:rsid w:val="000E2D54"/>
    <w:rsid w:val="000E2EBE"/>
    <w:rsid w:val="000F0DD2"/>
    <w:rsid w:val="000F58B1"/>
    <w:rsid w:val="000F7CBB"/>
    <w:rsid w:val="001130FC"/>
    <w:rsid w:val="001268C7"/>
    <w:rsid w:val="00126AD0"/>
    <w:rsid w:val="00132527"/>
    <w:rsid w:val="00143F73"/>
    <w:rsid w:val="00151FF7"/>
    <w:rsid w:val="00154FCF"/>
    <w:rsid w:val="00155579"/>
    <w:rsid w:val="001752D5"/>
    <w:rsid w:val="00176056"/>
    <w:rsid w:val="001849F0"/>
    <w:rsid w:val="001A1D91"/>
    <w:rsid w:val="001A2D63"/>
    <w:rsid w:val="001B33B3"/>
    <w:rsid w:val="001B5F37"/>
    <w:rsid w:val="001D3458"/>
    <w:rsid w:val="001E063D"/>
    <w:rsid w:val="001E2B8C"/>
    <w:rsid w:val="00207140"/>
    <w:rsid w:val="0021057B"/>
    <w:rsid w:val="0021481D"/>
    <w:rsid w:val="00222651"/>
    <w:rsid w:val="00223FBB"/>
    <w:rsid w:val="0022422B"/>
    <w:rsid w:val="00244788"/>
    <w:rsid w:val="002452B6"/>
    <w:rsid w:val="00245862"/>
    <w:rsid w:val="00263F27"/>
    <w:rsid w:val="00273855"/>
    <w:rsid w:val="00283543"/>
    <w:rsid w:val="00286C24"/>
    <w:rsid w:val="00295883"/>
    <w:rsid w:val="00295E19"/>
    <w:rsid w:val="002A0EB1"/>
    <w:rsid w:val="002C1A16"/>
    <w:rsid w:val="002D0EA2"/>
    <w:rsid w:val="002D70C9"/>
    <w:rsid w:val="002F21B7"/>
    <w:rsid w:val="002F6DE8"/>
    <w:rsid w:val="003251EB"/>
    <w:rsid w:val="003313BC"/>
    <w:rsid w:val="00331AD8"/>
    <w:rsid w:val="00343318"/>
    <w:rsid w:val="003473E0"/>
    <w:rsid w:val="00347879"/>
    <w:rsid w:val="00355630"/>
    <w:rsid w:val="00355FC4"/>
    <w:rsid w:val="003663BC"/>
    <w:rsid w:val="00372133"/>
    <w:rsid w:val="00376AE8"/>
    <w:rsid w:val="003858E8"/>
    <w:rsid w:val="00395F5A"/>
    <w:rsid w:val="00397ABA"/>
    <w:rsid w:val="003A0F26"/>
    <w:rsid w:val="003A6C06"/>
    <w:rsid w:val="003C22D2"/>
    <w:rsid w:val="003C5B42"/>
    <w:rsid w:val="003D230C"/>
    <w:rsid w:val="003D4B7C"/>
    <w:rsid w:val="003D6043"/>
    <w:rsid w:val="003D7A33"/>
    <w:rsid w:val="003E0201"/>
    <w:rsid w:val="003E045B"/>
    <w:rsid w:val="003E518D"/>
    <w:rsid w:val="003F0546"/>
    <w:rsid w:val="003F0655"/>
    <w:rsid w:val="003F2D62"/>
    <w:rsid w:val="003F5830"/>
    <w:rsid w:val="00400B4F"/>
    <w:rsid w:val="004254BB"/>
    <w:rsid w:val="004302EB"/>
    <w:rsid w:val="00440696"/>
    <w:rsid w:val="00443B18"/>
    <w:rsid w:val="00462120"/>
    <w:rsid w:val="00467C47"/>
    <w:rsid w:val="00491F45"/>
    <w:rsid w:val="004B750B"/>
    <w:rsid w:val="004C09DA"/>
    <w:rsid w:val="004C3EAC"/>
    <w:rsid w:val="004C5F15"/>
    <w:rsid w:val="004D761B"/>
    <w:rsid w:val="004E0259"/>
    <w:rsid w:val="004E3483"/>
    <w:rsid w:val="004E6928"/>
    <w:rsid w:val="004E7E81"/>
    <w:rsid w:val="00500AC5"/>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2CA2"/>
    <w:rsid w:val="005E2E02"/>
    <w:rsid w:val="005F02D6"/>
    <w:rsid w:val="005F3912"/>
    <w:rsid w:val="00612E94"/>
    <w:rsid w:val="0061338A"/>
    <w:rsid w:val="006156CC"/>
    <w:rsid w:val="00620035"/>
    <w:rsid w:val="006410C0"/>
    <w:rsid w:val="00642969"/>
    <w:rsid w:val="00645A00"/>
    <w:rsid w:val="00645D2C"/>
    <w:rsid w:val="00654270"/>
    <w:rsid w:val="00664105"/>
    <w:rsid w:val="00664BD2"/>
    <w:rsid w:val="00671C67"/>
    <w:rsid w:val="006877C9"/>
    <w:rsid w:val="006A733E"/>
    <w:rsid w:val="006A77F6"/>
    <w:rsid w:val="006B5E7A"/>
    <w:rsid w:val="006B6F0E"/>
    <w:rsid w:val="006C1171"/>
    <w:rsid w:val="006C44BC"/>
    <w:rsid w:val="006D72E4"/>
    <w:rsid w:val="006E4F1D"/>
    <w:rsid w:val="006E685F"/>
    <w:rsid w:val="006E798B"/>
    <w:rsid w:val="006F1A98"/>
    <w:rsid w:val="00707D74"/>
    <w:rsid w:val="007100FB"/>
    <w:rsid w:val="007218E7"/>
    <w:rsid w:val="00723ACB"/>
    <w:rsid w:val="00731B15"/>
    <w:rsid w:val="00742967"/>
    <w:rsid w:val="00743F0A"/>
    <w:rsid w:val="007551FA"/>
    <w:rsid w:val="007556A0"/>
    <w:rsid w:val="007713DE"/>
    <w:rsid w:val="0078244D"/>
    <w:rsid w:val="0078416B"/>
    <w:rsid w:val="00790714"/>
    <w:rsid w:val="007A0EF1"/>
    <w:rsid w:val="007A3116"/>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2241"/>
    <w:rsid w:val="008951A2"/>
    <w:rsid w:val="00896428"/>
    <w:rsid w:val="008A65EF"/>
    <w:rsid w:val="008C2C04"/>
    <w:rsid w:val="008C350C"/>
    <w:rsid w:val="008D3B12"/>
    <w:rsid w:val="008D3E04"/>
    <w:rsid w:val="008D4170"/>
    <w:rsid w:val="008D5642"/>
    <w:rsid w:val="008E6251"/>
    <w:rsid w:val="00911047"/>
    <w:rsid w:val="0091474D"/>
    <w:rsid w:val="009159DB"/>
    <w:rsid w:val="009210A4"/>
    <w:rsid w:val="00934EC4"/>
    <w:rsid w:val="009400F2"/>
    <w:rsid w:val="00942A00"/>
    <w:rsid w:val="00952D4F"/>
    <w:rsid w:val="0095706B"/>
    <w:rsid w:val="009656EB"/>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7023"/>
    <w:rsid w:val="00A432F1"/>
    <w:rsid w:val="00A45F94"/>
    <w:rsid w:val="00A46188"/>
    <w:rsid w:val="00A54E35"/>
    <w:rsid w:val="00A63668"/>
    <w:rsid w:val="00A63EBD"/>
    <w:rsid w:val="00A6516F"/>
    <w:rsid w:val="00A72815"/>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5CA8"/>
    <w:rsid w:val="00B94F50"/>
    <w:rsid w:val="00BB694E"/>
    <w:rsid w:val="00BB6CD0"/>
    <w:rsid w:val="00BC2D30"/>
    <w:rsid w:val="00BD3F11"/>
    <w:rsid w:val="00BE03D2"/>
    <w:rsid w:val="00BE1491"/>
    <w:rsid w:val="00BF0D80"/>
    <w:rsid w:val="00C028B2"/>
    <w:rsid w:val="00C11563"/>
    <w:rsid w:val="00C119A5"/>
    <w:rsid w:val="00C16D3D"/>
    <w:rsid w:val="00C35615"/>
    <w:rsid w:val="00C55A47"/>
    <w:rsid w:val="00C62DEF"/>
    <w:rsid w:val="00C632C1"/>
    <w:rsid w:val="00C66B0C"/>
    <w:rsid w:val="00C67F8B"/>
    <w:rsid w:val="00C83396"/>
    <w:rsid w:val="00C85217"/>
    <w:rsid w:val="00C94F49"/>
    <w:rsid w:val="00C95B41"/>
    <w:rsid w:val="00C97DBB"/>
    <w:rsid w:val="00CB2FAD"/>
    <w:rsid w:val="00CB35F6"/>
    <w:rsid w:val="00CC11C8"/>
    <w:rsid w:val="00CC4B57"/>
    <w:rsid w:val="00CD0CDB"/>
    <w:rsid w:val="00CD6001"/>
    <w:rsid w:val="00CF22F5"/>
    <w:rsid w:val="00CF249F"/>
    <w:rsid w:val="00D02461"/>
    <w:rsid w:val="00D14483"/>
    <w:rsid w:val="00D16C4E"/>
    <w:rsid w:val="00D21D1B"/>
    <w:rsid w:val="00D35489"/>
    <w:rsid w:val="00D37474"/>
    <w:rsid w:val="00D3764B"/>
    <w:rsid w:val="00D4115D"/>
    <w:rsid w:val="00D42E50"/>
    <w:rsid w:val="00D51CF0"/>
    <w:rsid w:val="00D53F60"/>
    <w:rsid w:val="00D55C81"/>
    <w:rsid w:val="00D6384C"/>
    <w:rsid w:val="00D64AB0"/>
    <w:rsid w:val="00D677FE"/>
    <w:rsid w:val="00D72652"/>
    <w:rsid w:val="00D731FD"/>
    <w:rsid w:val="00D7628B"/>
    <w:rsid w:val="00D84A7D"/>
    <w:rsid w:val="00D85C96"/>
    <w:rsid w:val="00DB03FF"/>
    <w:rsid w:val="00E1497B"/>
    <w:rsid w:val="00E17636"/>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KPMGArgentina"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kpmg.com.a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ome.kpmg/ar/es/home/media/press-releases.html" TargetMode="External"/><Relationship Id="rId25" Type="http://schemas.openxmlformats.org/officeDocument/2006/relationships/hyperlink" Target="http://www.youtube.com/kpmgargentin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llarey@kpmg.com.ar" TargetMode="External"/><Relationship Id="rId20" Type="http://schemas.openxmlformats.org/officeDocument/2006/relationships/hyperlink" Target="http://kpmgmail.com/collect/click.aspx?u=/G1GTPto3VWHuy7wMzDtDaEKIv6SjnE6KOw7tNdIQNTbUHYuvy2Vxnhnnbes8e7CM1iFUUnJL8c=&amp;rh=ff0014d8f77affd523c2dad6fa439070ac05a4fc" TargetMode="External"/><Relationship Id="rId29" Type="http://schemas.openxmlformats.org/officeDocument/2006/relationships/hyperlink" Target="http://kpmgmail.com/collect/click.aspx?u=/G1GTPto3VWHuy7wMzDtDbYc/NLxs+tnCw9ICurexhk=&amp;rh=ff0014d8f77affd523c2dad6fa439070ac05a4f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negretewilliams@kpmg.com.ar" TargetMode="External"/><Relationship Id="rId23" Type="http://schemas.openxmlformats.org/officeDocument/2006/relationships/hyperlink" Target="https://www.linkedin.com/company/kpmg_argentina"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s://www.facebook.com/pages/KPMG-AR-Talentos/" TargetMode="External"/><Relationship Id="rId30" Type="http://schemas.openxmlformats.org/officeDocument/2006/relationships/image" Target="media/image9.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2.xml><?xml version="1.0" encoding="utf-8"?>
<ds:datastoreItem xmlns:ds="http://schemas.openxmlformats.org/officeDocument/2006/customXml" ds:itemID="{4ABC07EB-5BC0-4A9D-B52F-4283CB665CF3}">
  <ds:schemaRefs>
    <ds:schemaRef ds:uri="http://schemas.openxmlformats.org/officeDocument/2006/bibliography"/>
  </ds:schemaRefs>
</ds:datastoreItem>
</file>

<file path=customXml/itemProps3.xml><?xml version="1.0" encoding="utf-8"?>
<ds:datastoreItem xmlns:ds="http://schemas.openxmlformats.org/officeDocument/2006/customXml" ds:itemID="{7728A122-05B1-4FA4-9989-8CBD6CF6FDED}">
  <ds:schemaRefs>
    <ds:schemaRef ds:uri="http://schemas.microsoft.com/office/2006/documentManagement/types"/>
    <ds:schemaRef ds:uri="http://purl.org/dc/terms/"/>
    <ds:schemaRef ds:uri="5bb014df-b26e-4791-88b2-8bb8c649518f"/>
    <ds:schemaRef ds:uri="1246c579-7b11-46c5-8e64-70f4a395f505"/>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(2)</Template>
  <TotalTime>145</TotalTime>
  <Pages>5</Pages>
  <Words>1662</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10785</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4</cp:revision>
  <cp:lastPrinted>2012-02-24T14:42:00Z</cp:lastPrinted>
  <dcterms:created xsi:type="dcterms:W3CDTF">2021-06-01T15:27:00Z</dcterms:created>
  <dcterms:modified xsi:type="dcterms:W3CDTF">2021-06-02T13:08:00Z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