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8B07" w14:textId="6308C1D5" w:rsidR="00A72815" w:rsidRPr="00A72815" w:rsidRDefault="00A72815" w:rsidP="00A72815">
      <w:pPr>
        <w:tabs>
          <w:tab w:val="left" w:pos="8025"/>
        </w:tabs>
        <w:spacing w:before="0" w:after="0"/>
        <w:jc w:val="both"/>
        <w:rPr>
          <w:rFonts w:ascii="Arial" w:hAnsi="Arial" w:cs="Arial"/>
          <w:b/>
          <w:color w:val="808080" w:themeColor="background1" w:themeShade="80"/>
          <w:sz w:val="26"/>
          <w:szCs w:val="26"/>
          <w:lang w:val="es-AR"/>
        </w:rPr>
      </w:pPr>
      <w:r w:rsidRPr="00A72815">
        <w:rPr>
          <w:rFonts w:ascii="Arial" w:hAnsi="Arial" w:cs="Arial"/>
          <w:b/>
          <w:color w:val="808080" w:themeColor="background1" w:themeShade="80"/>
          <w:sz w:val="26"/>
          <w:szCs w:val="26"/>
          <w:lang w:val="es-AR"/>
        </w:rPr>
        <w:t xml:space="preserve">Fusiones y Adquisiciones de Empresas </w:t>
      </w:r>
      <w:r w:rsidR="009A62E3">
        <w:rPr>
          <w:rFonts w:ascii="Arial" w:hAnsi="Arial" w:cs="Arial"/>
          <w:b/>
          <w:color w:val="808080" w:themeColor="background1" w:themeShade="80"/>
          <w:sz w:val="26"/>
          <w:szCs w:val="26"/>
          <w:lang w:val="es-AR"/>
        </w:rPr>
        <w:t xml:space="preserve">          </w:t>
      </w:r>
      <w:r w:rsidRPr="00A72815">
        <w:rPr>
          <w:rFonts w:ascii="Arial" w:hAnsi="Arial" w:cs="Arial"/>
          <w:b/>
          <w:color w:val="808080" w:themeColor="background1" w:themeShade="80"/>
          <w:sz w:val="26"/>
          <w:szCs w:val="26"/>
          <w:lang w:val="es-AR"/>
        </w:rPr>
        <w:t xml:space="preserve">      </w:t>
      </w:r>
      <w:r w:rsidR="009A62E3">
        <w:rPr>
          <w:rFonts w:ascii="Arial" w:hAnsi="Arial" w:cs="Arial"/>
          <w:b/>
          <w:color w:val="808080" w:themeColor="background1" w:themeShade="80"/>
          <w:sz w:val="26"/>
          <w:szCs w:val="26"/>
          <w:lang w:val="es-AR"/>
        </w:rPr>
        <w:t xml:space="preserve">                 </w:t>
      </w:r>
      <w:r w:rsidRPr="00A72815">
        <w:rPr>
          <w:rFonts w:ascii="Arial" w:hAnsi="Arial" w:cs="Arial"/>
          <w:b/>
          <w:color w:val="808080" w:themeColor="background1" w:themeShade="80"/>
          <w:sz w:val="26"/>
          <w:szCs w:val="26"/>
          <w:lang w:val="es-AR"/>
        </w:rPr>
        <w:t xml:space="preserve">            </w:t>
      </w:r>
    </w:p>
    <w:p w14:paraId="7DC4CC48" w14:textId="77777777" w:rsidR="00EB17F3" w:rsidRPr="00A72815" w:rsidRDefault="00EB17F3" w:rsidP="00A72815">
      <w:pPr>
        <w:tabs>
          <w:tab w:val="left" w:pos="8025"/>
        </w:tabs>
        <w:spacing w:before="0" w:after="0"/>
        <w:rPr>
          <w:rFonts w:ascii="Arial" w:hAnsi="Arial" w:cs="Arial"/>
          <w:b/>
          <w:color w:val="31849B" w:themeColor="accent5" w:themeShade="BF"/>
          <w:sz w:val="44"/>
          <w:szCs w:val="44"/>
          <w:lang w:val="es-AR"/>
        </w:rPr>
      </w:pPr>
    </w:p>
    <w:p w14:paraId="66768BBF" w14:textId="3A4EFCF0" w:rsidR="0058433F" w:rsidRDefault="0058433F" w:rsidP="00A72815">
      <w:pPr>
        <w:tabs>
          <w:tab w:val="left" w:pos="8025"/>
        </w:tabs>
        <w:spacing w:before="0" w:after="0"/>
        <w:jc w:val="center"/>
        <w:rPr>
          <w:rFonts w:ascii="Arial" w:hAnsi="Arial" w:cs="Arial"/>
          <w:b/>
          <w:color w:val="31849B" w:themeColor="accent5" w:themeShade="BF"/>
          <w:sz w:val="44"/>
          <w:szCs w:val="44"/>
          <w:lang w:val="es-AR"/>
        </w:rPr>
      </w:pPr>
      <w:r>
        <w:rPr>
          <w:rFonts w:ascii="Arial" w:hAnsi="Arial" w:cs="Arial"/>
          <w:b/>
          <w:color w:val="31849B" w:themeColor="accent5" w:themeShade="BF"/>
          <w:sz w:val="44"/>
          <w:szCs w:val="44"/>
          <w:lang w:val="es-AR"/>
        </w:rPr>
        <w:t>El primer trimestre de 2021 registró</w:t>
      </w:r>
      <w:r w:rsidR="009A62E3">
        <w:rPr>
          <w:rFonts w:ascii="Arial" w:hAnsi="Arial" w:cs="Arial"/>
          <w:b/>
          <w:color w:val="31849B" w:themeColor="accent5" w:themeShade="BF"/>
          <w:sz w:val="44"/>
          <w:szCs w:val="44"/>
          <w:lang w:val="es-AR"/>
        </w:rPr>
        <w:t xml:space="preserve"> en el país </w:t>
      </w:r>
      <w:r>
        <w:rPr>
          <w:rFonts w:ascii="Arial" w:hAnsi="Arial" w:cs="Arial"/>
          <w:b/>
          <w:color w:val="31849B" w:themeColor="accent5" w:themeShade="BF"/>
          <w:sz w:val="44"/>
          <w:szCs w:val="44"/>
          <w:lang w:val="es-AR"/>
        </w:rPr>
        <w:t xml:space="preserve"> </w:t>
      </w:r>
    </w:p>
    <w:p w14:paraId="7B6600DE" w14:textId="1F8C5A72" w:rsidR="00A72815" w:rsidRPr="00A72815" w:rsidRDefault="0058433F" w:rsidP="00A72815">
      <w:pPr>
        <w:tabs>
          <w:tab w:val="left" w:pos="8025"/>
        </w:tabs>
        <w:spacing w:before="0" w:after="0"/>
        <w:jc w:val="center"/>
        <w:rPr>
          <w:rFonts w:ascii="Arial" w:hAnsi="Arial" w:cs="Arial"/>
          <w:b/>
          <w:color w:val="31849B" w:themeColor="accent5" w:themeShade="BF"/>
          <w:sz w:val="44"/>
          <w:szCs w:val="44"/>
          <w:lang w:val="es-AR"/>
        </w:rPr>
      </w:pPr>
      <w:r>
        <w:rPr>
          <w:rFonts w:ascii="Arial" w:hAnsi="Arial" w:cs="Arial"/>
          <w:b/>
          <w:color w:val="31849B" w:themeColor="accent5" w:themeShade="BF"/>
          <w:sz w:val="44"/>
          <w:szCs w:val="44"/>
          <w:lang w:val="es-AR"/>
        </w:rPr>
        <w:t xml:space="preserve">un bajo nivel de operaciones de </w:t>
      </w:r>
      <w:r w:rsidR="00A72815" w:rsidRPr="00A72815">
        <w:rPr>
          <w:rFonts w:ascii="Arial" w:hAnsi="Arial" w:cs="Arial"/>
          <w:b/>
          <w:color w:val="31849B" w:themeColor="accent5" w:themeShade="BF"/>
          <w:sz w:val="44"/>
          <w:szCs w:val="44"/>
          <w:lang w:val="es-AR"/>
        </w:rPr>
        <w:t>M&amp;A</w:t>
      </w:r>
    </w:p>
    <w:p w14:paraId="0BF33C75" w14:textId="553FAA02" w:rsidR="00A72815" w:rsidRPr="00A72815" w:rsidRDefault="009A62E3" w:rsidP="00A72815">
      <w:pPr>
        <w:tabs>
          <w:tab w:val="left" w:pos="8025"/>
        </w:tabs>
        <w:spacing w:before="0" w:after="0"/>
        <w:jc w:val="both"/>
        <w:rPr>
          <w:rFonts w:ascii="Arial" w:hAnsi="Arial" w:cs="Arial"/>
          <w:b/>
          <w:color w:val="auto"/>
          <w:sz w:val="24"/>
          <w:szCs w:val="24"/>
          <w:lang w:val="es-AR"/>
        </w:rPr>
      </w:pPr>
      <w:r>
        <w:rPr>
          <w:rFonts w:ascii="Arial" w:hAnsi="Arial" w:cs="Arial"/>
          <w:b/>
          <w:color w:val="auto"/>
          <w:sz w:val="24"/>
          <w:szCs w:val="24"/>
          <w:lang w:val="es-AR"/>
        </w:rPr>
        <w:t xml:space="preserve">  </w:t>
      </w:r>
    </w:p>
    <w:p w14:paraId="1C36739F" w14:textId="59231A2E" w:rsidR="00A72815" w:rsidRDefault="00A72815" w:rsidP="00A72815">
      <w:pPr>
        <w:tabs>
          <w:tab w:val="left" w:pos="8025"/>
        </w:tabs>
        <w:spacing w:before="0" w:after="0"/>
        <w:jc w:val="both"/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</w:pPr>
      <w:r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  <w:t xml:space="preserve">Las </w:t>
      </w:r>
      <w:r w:rsidR="0058433F"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  <w:t>transacciones</w:t>
      </w:r>
      <w:r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  <w:t xml:space="preserve"> </w:t>
      </w:r>
      <w:r w:rsidR="009A62E3"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  <w:t xml:space="preserve">locales </w:t>
      </w:r>
      <w:r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  <w:t>continúan siendo lideradas por capitales nacionales. Los sectores de tecnología y consumo concentraron las operaciones.</w:t>
      </w:r>
      <w:r w:rsidR="009A62E3"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  <w:t xml:space="preserve"> </w:t>
      </w:r>
    </w:p>
    <w:p w14:paraId="09AD701A" w14:textId="77777777" w:rsidR="00A72815" w:rsidRDefault="00A72815" w:rsidP="00A72815">
      <w:pPr>
        <w:tabs>
          <w:tab w:val="left" w:pos="8025"/>
        </w:tabs>
        <w:spacing w:before="0" w:after="0"/>
        <w:jc w:val="both"/>
        <w:rPr>
          <w:rFonts w:ascii="Arial" w:hAnsi="Arial" w:cs="Arial"/>
          <w:bCs/>
          <w:color w:val="31849B" w:themeColor="accent5" w:themeShade="BF"/>
          <w:sz w:val="28"/>
          <w:szCs w:val="28"/>
          <w:lang w:val="es-AR"/>
        </w:rPr>
      </w:pPr>
    </w:p>
    <w:p w14:paraId="40844F28" w14:textId="77777777" w:rsidR="00A72815" w:rsidRDefault="00A72815" w:rsidP="00A72815">
      <w:pPr>
        <w:pStyle w:val="Volanta"/>
        <w:tabs>
          <w:tab w:val="left" w:pos="8025"/>
        </w:tabs>
        <w:jc w:val="both"/>
        <w:rPr>
          <w:rFonts w:ascii="Arial" w:hAnsi="Arial" w:cs="Arial"/>
          <w:bCs w:val="0"/>
          <w:color w:val="auto"/>
          <w:kern w:val="0"/>
          <w:sz w:val="22"/>
          <w:szCs w:val="22"/>
          <w:lang w:val="es-AR"/>
        </w:rPr>
      </w:pPr>
    </w:p>
    <w:p w14:paraId="67447737" w14:textId="486E8999" w:rsidR="00A72815" w:rsidRPr="00A72815" w:rsidRDefault="00A72815" w:rsidP="00A72815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</w:pPr>
      <w:r w:rsidRPr="00A72815">
        <w:rPr>
          <w:rFonts w:ascii="Arial" w:hAnsi="Arial" w:cs="Arial"/>
          <w:bCs w:val="0"/>
          <w:color w:val="auto"/>
          <w:kern w:val="0"/>
          <w:sz w:val="22"/>
          <w:szCs w:val="22"/>
          <w:lang w:val="es-AR"/>
        </w:rPr>
        <w:t xml:space="preserve">Buenos Aires, </w:t>
      </w:r>
      <w:r w:rsidR="00AC3267">
        <w:rPr>
          <w:rFonts w:ascii="Arial" w:hAnsi="Arial" w:cs="Arial"/>
          <w:bCs w:val="0"/>
          <w:color w:val="auto"/>
          <w:kern w:val="0"/>
          <w:sz w:val="22"/>
          <w:szCs w:val="22"/>
          <w:lang w:val="es-AR"/>
        </w:rPr>
        <w:t xml:space="preserve">21 de </w:t>
      </w:r>
      <w:r w:rsidRPr="00A72815">
        <w:rPr>
          <w:rFonts w:ascii="Arial" w:hAnsi="Arial" w:cs="Arial"/>
          <w:bCs w:val="0"/>
          <w:color w:val="auto"/>
          <w:kern w:val="0"/>
          <w:sz w:val="22"/>
          <w:szCs w:val="22"/>
          <w:lang w:val="es-AR"/>
        </w:rPr>
        <w:t>abril de 2021 / KPMG</w:t>
      </w:r>
      <w:r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. </w:t>
      </w:r>
      <w:r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>La cantidad de transacciones de M&amp;A se mantiene en un nivel bajo habiéndose registrado un total de 8</w:t>
      </w:r>
      <w:r w:rsidR="0058433F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 </w:t>
      </w:r>
      <w:r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en el primer trimestre del año cifra </w:t>
      </w:r>
      <w:r w:rsidR="009A62E3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que está </w:t>
      </w:r>
      <w:r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>por debajo</w:t>
      </w:r>
      <w:r w:rsidR="00D261EB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>,</w:t>
      </w:r>
      <w:r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 incluso</w:t>
      </w:r>
      <w:r w:rsidR="00D261EB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>,</w:t>
      </w:r>
      <w:r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 de los mínimos </w:t>
      </w:r>
      <w:r w:rsidR="00D261EB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valores </w:t>
      </w:r>
      <w:r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observados durante el primer semestre de 2020. </w:t>
      </w:r>
      <w:r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 </w:t>
      </w:r>
      <w:r w:rsidR="00D261EB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Con </w:t>
      </w:r>
      <w:r w:rsidR="0058433F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3 operaciones </w:t>
      </w:r>
      <w:r w:rsidR="00D261EB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>cada uno, los sectores de t</w:t>
      </w:r>
      <w:r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ecnología y </w:t>
      </w:r>
      <w:r w:rsidR="00D261EB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>c</w:t>
      </w:r>
      <w:r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onsumo </w:t>
      </w:r>
      <w:r w:rsidR="009A62E3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>concentraron</w:t>
      </w:r>
      <w:r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 en conjunto el 75% de las</w:t>
      </w:r>
      <w:r w:rsidR="0058433F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 registradas en </w:t>
      </w:r>
      <w:r w:rsidR="00D261EB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>el período</w:t>
      </w:r>
      <w:r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. Entre ellas, se destaca la adquisición de la firma de ciberseguridad </w:t>
      </w:r>
      <w:r w:rsidRPr="0058433F">
        <w:rPr>
          <w:rFonts w:ascii="Arial" w:hAnsi="Arial" w:cs="Arial"/>
          <w:bCs w:val="0"/>
          <w:color w:val="auto"/>
          <w:kern w:val="0"/>
          <w:sz w:val="22"/>
          <w:szCs w:val="22"/>
          <w:lang w:val="es-AR"/>
        </w:rPr>
        <w:t>Auth0</w:t>
      </w:r>
      <w:r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 por parte de su competidor estadounidense </w:t>
      </w:r>
      <w:proofErr w:type="spellStart"/>
      <w:r w:rsidRPr="005D6D98">
        <w:rPr>
          <w:rFonts w:ascii="Arial" w:hAnsi="Arial" w:cs="Arial"/>
          <w:bCs w:val="0"/>
          <w:color w:val="auto"/>
          <w:kern w:val="0"/>
          <w:sz w:val="22"/>
          <w:szCs w:val="22"/>
          <w:lang w:val="es-AR"/>
        </w:rPr>
        <w:t>Okta</w:t>
      </w:r>
      <w:proofErr w:type="spellEnd"/>
      <w:r w:rsidRPr="005D6D98">
        <w:rPr>
          <w:rFonts w:ascii="Arial" w:hAnsi="Arial" w:cs="Arial"/>
          <w:bCs w:val="0"/>
          <w:color w:val="auto"/>
          <w:kern w:val="0"/>
          <w:sz w:val="22"/>
          <w:szCs w:val="22"/>
          <w:lang w:val="es-AR"/>
        </w:rPr>
        <w:t xml:space="preserve">, </w:t>
      </w:r>
      <w:r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>en una cifra cercana a los USD 6.500 millones.</w:t>
      </w:r>
    </w:p>
    <w:p w14:paraId="507B3D66" w14:textId="77777777" w:rsidR="00AC3267" w:rsidRDefault="00AC3267" w:rsidP="0076534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lang w:val="es-AR"/>
        </w:rPr>
      </w:pPr>
    </w:p>
    <w:p w14:paraId="442EEB58" w14:textId="2BBB6E17" w:rsidR="00765342" w:rsidRDefault="00D261EB" w:rsidP="0076534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lang w:val="es-AR"/>
        </w:rPr>
      </w:pPr>
      <w:r w:rsidRPr="00BC0AAC">
        <w:rPr>
          <w:rFonts w:ascii="Arial" w:hAnsi="Arial" w:cs="Arial"/>
          <w:i/>
          <w:iCs/>
          <w:sz w:val="22"/>
          <w:lang w:val="es-AR"/>
        </w:rPr>
        <w:t>“</w:t>
      </w:r>
      <w:r w:rsidR="00A72815" w:rsidRPr="00BC0AAC">
        <w:rPr>
          <w:rFonts w:ascii="Arial" w:hAnsi="Arial" w:cs="Arial"/>
          <w:i/>
          <w:iCs/>
          <w:sz w:val="22"/>
          <w:lang w:val="es-AR"/>
        </w:rPr>
        <w:t>La actividad de M&amp;A en Argentina continúa siendo liderada por capitales nacionales con mayor tolerancia al riesgo local que encuentran oportunidades a precios atractivos cuando se evalúan estratégicamente a largo plazo</w:t>
      </w:r>
      <w:r w:rsidRPr="00BC0AAC">
        <w:rPr>
          <w:rFonts w:ascii="Arial" w:hAnsi="Arial" w:cs="Arial"/>
          <w:i/>
          <w:iCs/>
          <w:sz w:val="22"/>
          <w:lang w:val="es-AR"/>
        </w:rPr>
        <w:t xml:space="preserve">. </w:t>
      </w:r>
      <w:r w:rsidR="00A72815" w:rsidRPr="00BC0AAC">
        <w:rPr>
          <w:rFonts w:ascii="Arial" w:hAnsi="Arial" w:cs="Arial"/>
          <w:i/>
          <w:iCs/>
          <w:sz w:val="22"/>
          <w:lang w:val="es-AR"/>
        </w:rPr>
        <w:t xml:space="preserve">Las intervenciones de inversores internacionales como compradores </w:t>
      </w:r>
      <w:r w:rsidR="00BC0AAC">
        <w:rPr>
          <w:rFonts w:ascii="Arial" w:hAnsi="Arial" w:cs="Arial"/>
          <w:i/>
          <w:iCs/>
          <w:sz w:val="22"/>
          <w:lang w:val="es-AR"/>
        </w:rPr>
        <w:t xml:space="preserve">se encuentran </w:t>
      </w:r>
      <w:r w:rsidR="00BC0AAC" w:rsidRPr="00BC0AAC">
        <w:rPr>
          <w:rFonts w:ascii="Arial" w:hAnsi="Arial" w:cs="Arial"/>
          <w:i/>
          <w:iCs/>
          <w:sz w:val="22"/>
          <w:lang w:val="es-AR"/>
        </w:rPr>
        <w:t>mayormente</w:t>
      </w:r>
      <w:r w:rsidR="00A72815" w:rsidRPr="00BC0AAC">
        <w:rPr>
          <w:rFonts w:ascii="Arial" w:hAnsi="Arial" w:cs="Arial"/>
          <w:i/>
          <w:iCs/>
          <w:sz w:val="22"/>
          <w:lang w:val="es-AR"/>
        </w:rPr>
        <w:t xml:space="preserve"> limitadas al sector tecnológico</w:t>
      </w:r>
      <w:r w:rsidR="00BC0AAC">
        <w:rPr>
          <w:rFonts w:ascii="Arial" w:hAnsi="Arial" w:cs="Arial"/>
          <w:i/>
          <w:iCs/>
          <w:sz w:val="22"/>
          <w:lang w:val="es-AR"/>
        </w:rPr>
        <w:t xml:space="preserve"> que </w:t>
      </w:r>
      <w:r w:rsidR="00A72815" w:rsidRPr="00BC0AAC">
        <w:rPr>
          <w:rFonts w:ascii="Arial" w:hAnsi="Arial" w:cs="Arial"/>
          <w:i/>
          <w:iCs/>
          <w:sz w:val="22"/>
          <w:lang w:val="es-AR"/>
        </w:rPr>
        <w:t>mantiene su capacidad de creación de valor pese a las circunstancias desfavorables</w:t>
      </w:r>
      <w:r w:rsidR="00BC0AAC">
        <w:rPr>
          <w:rFonts w:ascii="Arial" w:hAnsi="Arial" w:cs="Arial"/>
          <w:i/>
          <w:iCs/>
          <w:sz w:val="22"/>
          <w:lang w:val="es-AR"/>
        </w:rPr>
        <w:t xml:space="preserve"> de la coyuntura</w:t>
      </w:r>
      <w:r w:rsidRPr="00BC0AAC">
        <w:rPr>
          <w:rFonts w:ascii="Arial" w:hAnsi="Arial" w:cs="Arial"/>
          <w:i/>
          <w:iCs/>
          <w:sz w:val="22"/>
          <w:lang w:val="es-AR"/>
        </w:rPr>
        <w:t>”</w:t>
      </w:r>
      <w:r w:rsidRPr="00D261EB">
        <w:rPr>
          <w:rFonts w:ascii="Arial" w:hAnsi="Arial" w:cs="Arial"/>
          <w:sz w:val="22"/>
          <w:lang w:val="es-AR"/>
        </w:rPr>
        <w:t>,</w:t>
      </w:r>
      <w:r>
        <w:rPr>
          <w:rFonts w:ascii="Arial" w:hAnsi="Arial" w:cs="Arial"/>
          <w:sz w:val="22"/>
          <w:lang w:val="es-AR"/>
        </w:rPr>
        <w:t xml:space="preserve"> </w:t>
      </w:r>
      <w:r w:rsidRPr="00D261EB">
        <w:rPr>
          <w:rFonts w:ascii="Arial" w:hAnsi="Arial" w:cs="Arial"/>
          <w:sz w:val="22"/>
          <w:lang w:val="es-AR"/>
        </w:rPr>
        <w:t xml:space="preserve">explica </w:t>
      </w:r>
      <w:r w:rsidR="00765342" w:rsidRPr="00BC0AAC">
        <w:rPr>
          <w:rFonts w:ascii="Arial" w:hAnsi="Arial" w:cs="Arial"/>
          <w:b/>
          <w:sz w:val="22"/>
          <w:szCs w:val="22"/>
          <w:lang w:val="es-AR"/>
        </w:rPr>
        <w:t xml:space="preserve">Federico Díaz </w:t>
      </w:r>
      <w:proofErr w:type="spellStart"/>
      <w:r w:rsidR="00765342" w:rsidRPr="00BC0AAC">
        <w:rPr>
          <w:rFonts w:ascii="Arial" w:hAnsi="Arial" w:cs="Arial"/>
          <w:b/>
          <w:sz w:val="22"/>
          <w:szCs w:val="22"/>
          <w:lang w:val="es-AR"/>
        </w:rPr>
        <w:t>Ascuénaga</w:t>
      </w:r>
      <w:proofErr w:type="spellEnd"/>
      <w:r w:rsidR="00765342">
        <w:rPr>
          <w:rFonts w:ascii="Arial" w:hAnsi="Arial" w:cs="Arial"/>
          <w:b/>
          <w:sz w:val="22"/>
          <w:lang w:val="es-AR"/>
        </w:rPr>
        <w:t xml:space="preserve"> </w:t>
      </w:r>
      <w:r w:rsidR="00765342" w:rsidRPr="00BC0AAC">
        <w:rPr>
          <w:rFonts w:ascii="Arial" w:hAnsi="Arial" w:cs="Arial"/>
          <w:b/>
          <w:sz w:val="22"/>
          <w:szCs w:val="22"/>
          <w:lang w:val="es-AR"/>
        </w:rPr>
        <w:t>Head de M&amp;</w:t>
      </w:r>
      <w:r w:rsidR="00765342" w:rsidRPr="00BC0AAC">
        <w:rPr>
          <w:rFonts w:ascii="Arial" w:hAnsi="Arial" w:cs="Arial"/>
          <w:b/>
          <w:sz w:val="22"/>
          <w:lang w:val="es-AR"/>
        </w:rPr>
        <w:t>A,</w:t>
      </w:r>
      <w:r w:rsidR="00765342" w:rsidRPr="003B2D7F">
        <w:rPr>
          <w:rFonts w:ascii="Arial" w:hAnsi="Arial" w:cs="Arial"/>
          <w:b/>
          <w:sz w:val="22"/>
          <w:szCs w:val="22"/>
          <w:lang w:val="es-AR"/>
        </w:rPr>
        <w:t xml:space="preserve"> Deal </w:t>
      </w:r>
      <w:proofErr w:type="spellStart"/>
      <w:r w:rsidR="00765342" w:rsidRPr="003B2D7F">
        <w:rPr>
          <w:rFonts w:ascii="Arial" w:hAnsi="Arial" w:cs="Arial"/>
          <w:b/>
          <w:sz w:val="22"/>
          <w:szCs w:val="22"/>
          <w:lang w:val="es-AR"/>
        </w:rPr>
        <w:t>Advisory</w:t>
      </w:r>
      <w:proofErr w:type="spellEnd"/>
      <w:r w:rsidR="00765342" w:rsidRPr="003B2D7F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AC3267">
        <w:rPr>
          <w:rFonts w:ascii="Arial" w:hAnsi="Arial" w:cs="Arial"/>
          <w:b/>
          <w:sz w:val="22"/>
          <w:szCs w:val="22"/>
          <w:lang w:val="es-AR"/>
        </w:rPr>
        <w:t xml:space="preserve">en KPMG </w:t>
      </w:r>
      <w:r w:rsidR="00765342" w:rsidRPr="003B2D7F">
        <w:rPr>
          <w:rFonts w:ascii="Arial" w:hAnsi="Arial" w:cs="Arial"/>
          <w:b/>
          <w:sz w:val="22"/>
          <w:szCs w:val="22"/>
          <w:lang w:val="es-AR"/>
        </w:rPr>
        <w:t>Argentina</w:t>
      </w:r>
      <w:r>
        <w:rPr>
          <w:rFonts w:ascii="Arial" w:hAnsi="Arial" w:cs="Arial"/>
          <w:b/>
          <w:bCs/>
          <w:sz w:val="22"/>
          <w:lang w:val="es-AR"/>
        </w:rPr>
        <w:t>.</w:t>
      </w:r>
    </w:p>
    <w:p w14:paraId="7E3AC42E" w14:textId="57BC2219" w:rsidR="00A72815" w:rsidRDefault="00A72815" w:rsidP="00AC326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lang w:val="es-AR"/>
        </w:rPr>
      </w:pPr>
    </w:p>
    <w:p w14:paraId="67750EF1" w14:textId="77777777" w:rsidR="00862544" w:rsidRPr="00D261EB" w:rsidRDefault="00862544" w:rsidP="00AC326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lang w:val="es-AR"/>
        </w:rPr>
      </w:pPr>
    </w:p>
    <w:p w14:paraId="71EFFC33" w14:textId="77777777" w:rsidR="00AC3267" w:rsidRDefault="00AC3267" w:rsidP="00A72815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</w:pPr>
    </w:p>
    <w:p w14:paraId="79491D6A" w14:textId="749C7B72" w:rsidR="00AC3267" w:rsidRPr="00AC3267" w:rsidRDefault="00AC3267" w:rsidP="00AC3267">
      <w:pPr>
        <w:spacing w:before="0" w:after="0"/>
        <w:jc w:val="center"/>
        <w:rPr>
          <w:rFonts w:ascii="Arial" w:hAnsi="Arial" w:cs="Arial"/>
          <w:b/>
          <w:bCs/>
          <w:color w:val="auto"/>
          <w:sz w:val="22"/>
          <w:lang w:val="es-AR"/>
        </w:rPr>
      </w:pPr>
      <w:r w:rsidRPr="00AC3267">
        <w:rPr>
          <w:rFonts w:ascii="Arial" w:hAnsi="Arial" w:cs="Arial"/>
          <w:b/>
          <w:bCs/>
          <w:color w:val="auto"/>
          <w:sz w:val="22"/>
          <w:lang w:val="es-AR"/>
        </w:rPr>
        <w:t>Serie histórica de transacciones de M&amp;A en Argentina</w:t>
      </w:r>
    </w:p>
    <w:p w14:paraId="2884C72A" w14:textId="1D50C58F" w:rsidR="00AC3267" w:rsidRDefault="00AC3267" w:rsidP="00A72815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</w:pPr>
    </w:p>
    <w:p w14:paraId="172FF1F5" w14:textId="05B5102C" w:rsidR="00AC3267" w:rsidRDefault="00303637" w:rsidP="00A72815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</w:pPr>
      <w:r>
        <w:rPr>
          <w:rFonts w:ascii="Arial" w:hAnsi="Arial" w:cs="Arial"/>
          <w:b w:val="0"/>
          <w:noProof/>
          <w:color w:val="auto"/>
          <w:kern w:val="0"/>
          <w:sz w:val="22"/>
          <w:szCs w:val="22"/>
          <w:lang w:val="es-AR"/>
        </w:rPr>
        <w:drawing>
          <wp:inline distT="0" distB="0" distL="0" distR="0" wp14:anchorId="0637BBB1" wp14:editId="6AB996E7">
            <wp:extent cx="6226175" cy="1413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69" cy="1426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5491F" w14:textId="4A6CDD55" w:rsidR="00AC3267" w:rsidRDefault="00AC3267" w:rsidP="00A72815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</w:pPr>
    </w:p>
    <w:p w14:paraId="2F85146B" w14:textId="6B587624" w:rsidR="00A72815" w:rsidRPr="00A72815" w:rsidRDefault="00BC0AAC" w:rsidP="00A72815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</w:pPr>
      <w:r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lastRenderedPageBreak/>
        <w:t>Asimismo</w:t>
      </w:r>
      <w:r w:rsidR="00A72815"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, continúan observándose exitosas rondas de fondeo de empresas tecnológicas por parte de fondos de </w:t>
      </w:r>
      <w:r w:rsidR="00A72815" w:rsidRPr="009A62E3">
        <w:rPr>
          <w:rFonts w:ascii="Arial" w:hAnsi="Arial" w:cs="Arial"/>
          <w:bCs w:val="0"/>
          <w:color w:val="auto"/>
          <w:kern w:val="0"/>
          <w:sz w:val="22"/>
          <w:szCs w:val="22"/>
          <w:lang w:val="es-AR"/>
        </w:rPr>
        <w:t xml:space="preserve">Venture </w:t>
      </w:r>
      <w:r w:rsidR="009A62E3">
        <w:rPr>
          <w:rFonts w:ascii="Arial" w:hAnsi="Arial" w:cs="Arial"/>
          <w:bCs w:val="0"/>
          <w:color w:val="auto"/>
          <w:kern w:val="0"/>
          <w:sz w:val="22"/>
          <w:szCs w:val="22"/>
          <w:lang w:val="es-AR"/>
        </w:rPr>
        <w:t>C</w:t>
      </w:r>
      <w:r w:rsidR="00A72815" w:rsidRPr="009A62E3">
        <w:rPr>
          <w:rFonts w:ascii="Arial" w:hAnsi="Arial" w:cs="Arial"/>
          <w:bCs w:val="0"/>
          <w:color w:val="auto"/>
          <w:kern w:val="0"/>
          <w:sz w:val="22"/>
          <w:szCs w:val="22"/>
          <w:lang w:val="es-AR"/>
        </w:rPr>
        <w:t>apital</w:t>
      </w:r>
      <w:r w:rsidR="00A72815"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, destacándose el levantamiento de alrededor de USD 50 millones por parte de </w:t>
      </w:r>
      <w:r w:rsidR="00A72815" w:rsidRPr="009A62E3">
        <w:rPr>
          <w:rFonts w:ascii="Arial" w:hAnsi="Arial" w:cs="Arial"/>
          <w:bCs w:val="0"/>
          <w:color w:val="auto"/>
          <w:kern w:val="0"/>
          <w:sz w:val="22"/>
          <w:szCs w:val="22"/>
          <w:lang w:val="es-AR"/>
        </w:rPr>
        <w:t>Digital House</w:t>
      </w:r>
      <w:r w:rsidR="00A72815"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. Grandes empresas e inversores institucionales tradicionales evalúan con creciente interés oportunidades bajo esta modalidad. </w:t>
      </w:r>
      <w:r w:rsidR="005D6D98" w:rsidRPr="005D6D98">
        <w:rPr>
          <w:rFonts w:ascii="Arial" w:hAnsi="Arial" w:cs="Arial"/>
          <w:b w:val="0"/>
          <w:bCs w:val="0"/>
          <w:color w:val="auto"/>
          <w:sz w:val="22"/>
          <w:lang w:val="es-AR"/>
        </w:rPr>
        <w:t>Vale remarcar</w:t>
      </w:r>
      <w:r w:rsidR="005D6D98">
        <w:rPr>
          <w:rFonts w:ascii="Arial" w:hAnsi="Arial" w:cs="Arial"/>
          <w:color w:val="auto"/>
          <w:sz w:val="22"/>
          <w:lang w:val="es-AR"/>
        </w:rPr>
        <w:t xml:space="preserve"> </w:t>
      </w:r>
      <w:r w:rsidR="005D6D98"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la participación de empresas de origen argentino </w:t>
      </w:r>
      <w:r w:rsidR="009A62E3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como compradores </w:t>
      </w:r>
      <w:r w:rsidR="005D6D98"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en el mercado global de M&amp;A. </w:t>
      </w:r>
      <w:r w:rsidR="005D6D98" w:rsidRPr="005D6D98">
        <w:rPr>
          <w:rFonts w:ascii="Arial" w:hAnsi="Arial" w:cs="Arial"/>
          <w:b w:val="0"/>
          <w:bCs w:val="0"/>
          <w:color w:val="auto"/>
          <w:sz w:val="22"/>
          <w:lang w:val="es-AR"/>
        </w:rPr>
        <w:t>Por ejemplo,</w:t>
      </w:r>
      <w:r w:rsidR="005D6D98">
        <w:rPr>
          <w:rFonts w:ascii="Arial" w:hAnsi="Arial" w:cs="Arial"/>
          <w:color w:val="auto"/>
          <w:sz w:val="22"/>
          <w:lang w:val="es-AR"/>
        </w:rPr>
        <w:t xml:space="preserve"> </w:t>
      </w:r>
      <w:r w:rsidR="005D6D98" w:rsidRPr="005D6D98">
        <w:rPr>
          <w:rFonts w:ascii="Arial" w:hAnsi="Arial" w:cs="Arial"/>
          <w:b w:val="0"/>
          <w:bCs w:val="0"/>
          <w:color w:val="auto"/>
          <w:sz w:val="22"/>
          <w:lang w:val="es-AR"/>
        </w:rPr>
        <w:t>e</w:t>
      </w:r>
      <w:r w:rsidR="005D6D98" w:rsidRPr="005D6D98">
        <w:rPr>
          <w:rFonts w:ascii="Arial" w:hAnsi="Arial" w:cs="Arial"/>
          <w:b w:val="0"/>
          <w:bCs w:val="0"/>
          <w:color w:val="auto"/>
          <w:kern w:val="0"/>
          <w:sz w:val="22"/>
          <w:szCs w:val="22"/>
          <w:lang w:val="es-AR"/>
        </w:rPr>
        <w:t xml:space="preserve">n </w:t>
      </w:r>
      <w:r w:rsidR="009A62E3">
        <w:rPr>
          <w:rFonts w:ascii="Arial" w:hAnsi="Arial" w:cs="Arial"/>
          <w:b w:val="0"/>
          <w:bCs w:val="0"/>
          <w:color w:val="auto"/>
          <w:kern w:val="0"/>
          <w:sz w:val="22"/>
          <w:szCs w:val="22"/>
          <w:lang w:val="es-AR"/>
        </w:rPr>
        <w:t xml:space="preserve">este primer </w:t>
      </w:r>
      <w:r w:rsidR="005D6D98" w:rsidRPr="005D6D98">
        <w:rPr>
          <w:rFonts w:ascii="Arial" w:hAnsi="Arial" w:cs="Arial"/>
          <w:b w:val="0"/>
          <w:bCs w:val="0"/>
          <w:color w:val="auto"/>
          <w:kern w:val="0"/>
          <w:sz w:val="22"/>
          <w:szCs w:val="22"/>
          <w:lang w:val="es-AR"/>
        </w:rPr>
        <w:t>trimestre</w:t>
      </w:r>
      <w:r w:rsidR="005D6D98" w:rsidRPr="005D6D98">
        <w:rPr>
          <w:rFonts w:ascii="Arial" w:hAnsi="Arial" w:cs="Arial"/>
          <w:b w:val="0"/>
          <w:bCs w:val="0"/>
          <w:color w:val="auto"/>
          <w:sz w:val="22"/>
          <w:lang w:val="es-AR"/>
        </w:rPr>
        <w:t xml:space="preserve"> </w:t>
      </w:r>
      <w:r w:rsidR="009A62E3">
        <w:rPr>
          <w:rFonts w:ascii="Arial" w:hAnsi="Arial" w:cs="Arial"/>
          <w:b w:val="0"/>
          <w:bCs w:val="0"/>
          <w:color w:val="auto"/>
          <w:sz w:val="22"/>
          <w:lang w:val="es-AR"/>
        </w:rPr>
        <w:t xml:space="preserve">las </w:t>
      </w:r>
      <w:r w:rsidR="005D6D98" w:rsidRPr="005D6D98">
        <w:rPr>
          <w:rFonts w:ascii="Arial" w:hAnsi="Arial" w:cs="Arial"/>
          <w:b w:val="0"/>
          <w:bCs w:val="0"/>
          <w:color w:val="auto"/>
          <w:sz w:val="22"/>
          <w:lang w:val="es-AR"/>
        </w:rPr>
        <w:t>firmas</w:t>
      </w:r>
      <w:r w:rsidR="005D6D98" w:rsidRPr="005D6D98">
        <w:rPr>
          <w:rFonts w:ascii="Arial" w:hAnsi="Arial" w:cs="Arial"/>
          <w:b w:val="0"/>
          <w:bCs w:val="0"/>
          <w:color w:val="auto"/>
          <w:kern w:val="0"/>
          <w:sz w:val="22"/>
          <w:szCs w:val="22"/>
          <w:lang w:val="es-AR"/>
        </w:rPr>
        <w:t xml:space="preserve"> </w:t>
      </w:r>
      <w:proofErr w:type="spellStart"/>
      <w:r w:rsidR="005D6D98" w:rsidRPr="005D6D98">
        <w:rPr>
          <w:rFonts w:ascii="Arial" w:hAnsi="Arial" w:cs="Arial"/>
          <w:color w:val="auto"/>
          <w:kern w:val="0"/>
          <w:sz w:val="22"/>
          <w:szCs w:val="22"/>
          <w:lang w:val="es-AR"/>
        </w:rPr>
        <w:t>Technisys</w:t>
      </w:r>
      <w:proofErr w:type="spellEnd"/>
      <w:r w:rsidR="005D6D98" w:rsidRPr="005D6D98">
        <w:rPr>
          <w:rFonts w:ascii="Arial" w:hAnsi="Arial" w:cs="Arial"/>
          <w:color w:val="auto"/>
          <w:kern w:val="0"/>
          <w:sz w:val="22"/>
          <w:szCs w:val="22"/>
          <w:lang w:val="es-AR"/>
        </w:rPr>
        <w:t xml:space="preserve"> y Globant</w:t>
      </w:r>
      <w:r w:rsidR="005D6D98" w:rsidRPr="00A72815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 xml:space="preserve"> anunciaron adquisiciones en Canadá y Reino Unido</w:t>
      </w:r>
      <w:r w:rsidR="0058433F"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t>.</w:t>
      </w:r>
    </w:p>
    <w:p w14:paraId="5F80E26B" w14:textId="77777777" w:rsidR="00A72815" w:rsidRDefault="00A72815" w:rsidP="00A72815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</w:pPr>
    </w:p>
    <w:p w14:paraId="1D8BD549" w14:textId="0AFC31E1" w:rsidR="00D261EB" w:rsidRDefault="009A62E3" w:rsidP="00D261EB">
      <w:pPr>
        <w:spacing w:before="0" w:after="0"/>
        <w:jc w:val="both"/>
        <w:rPr>
          <w:rFonts w:ascii="Arial" w:hAnsi="Arial" w:cs="Arial"/>
          <w:color w:val="auto"/>
          <w:sz w:val="22"/>
          <w:lang w:val="es-AR"/>
        </w:rPr>
      </w:pPr>
      <w:r>
        <w:rPr>
          <w:rFonts w:ascii="Arial" w:hAnsi="Arial" w:cs="Arial"/>
          <w:color w:val="auto"/>
          <w:sz w:val="22"/>
          <w:lang w:val="es-AR"/>
        </w:rPr>
        <w:t xml:space="preserve">También </w:t>
      </w:r>
      <w:r w:rsidR="00A72815" w:rsidRPr="00D261EB">
        <w:rPr>
          <w:rFonts w:ascii="Arial" w:hAnsi="Arial" w:cs="Arial"/>
          <w:color w:val="auto"/>
          <w:sz w:val="22"/>
          <w:lang w:val="es-AR"/>
        </w:rPr>
        <w:t xml:space="preserve">aumentan los casos </w:t>
      </w:r>
      <w:r w:rsidRPr="00D261EB">
        <w:rPr>
          <w:rFonts w:ascii="Arial" w:hAnsi="Arial" w:cs="Arial"/>
          <w:color w:val="auto"/>
          <w:sz w:val="22"/>
          <w:lang w:val="es-AR"/>
        </w:rPr>
        <w:t xml:space="preserve">de </w:t>
      </w:r>
      <w:r w:rsidRPr="00396EAD">
        <w:rPr>
          <w:rFonts w:ascii="Arial" w:hAnsi="Arial" w:cs="Arial"/>
          <w:color w:val="auto"/>
          <w:sz w:val="22"/>
          <w:lang w:val="es-AR"/>
        </w:rPr>
        <w:t>las</w:t>
      </w:r>
      <w:r w:rsidR="00D261EB" w:rsidRPr="00396EAD">
        <w:rPr>
          <w:rFonts w:ascii="Arial" w:hAnsi="Arial" w:cs="Arial"/>
          <w:color w:val="auto"/>
          <w:sz w:val="22"/>
          <w:lang w:val="es-AR"/>
        </w:rPr>
        <w:t xml:space="preserve"> </w:t>
      </w:r>
      <w:r w:rsidR="00396EAD" w:rsidRPr="00396EAD">
        <w:rPr>
          <w:rFonts w:ascii="Arial" w:hAnsi="Arial" w:cs="Arial"/>
          <w:color w:val="auto"/>
          <w:sz w:val="22"/>
          <w:lang w:val="es-AR"/>
        </w:rPr>
        <w:t>operaciones de las llamadas</w:t>
      </w:r>
      <w:r w:rsidR="00396EAD">
        <w:rPr>
          <w:rFonts w:ascii="Arial" w:hAnsi="Arial" w:cs="Arial"/>
          <w:b/>
          <w:color w:val="auto"/>
          <w:sz w:val="22"/>
          <w:lang w:val="es-AR"/>
        </w:rPr>
        <w:t xml:space="preserve"> </w:t>
      </w:r>
      <w:r w:rsidR="00D261EB" w:rsidRPr="00D261EB">
        <w:rPr>
          <w:rFonts w:ascii="Arial" w:hAnsi="Arial" w:cs="Arial"/>
          <w:b/>
          <w:bCs/>
          <w:color w:val="auto"/>
          <w:sz w:val="22"/>
          <w:lang w:val="es-AR"/>
        </w:rPr>
        <w:t xml:space="preserve">Compañías con Propósito Especial de Compra o </w:t>
      </w:r>
      <w:proofErr w:type="spellStart"/>
      <w:r w:rsidR="00A72815" w:rsidRPr="00D261EB">
        <w:rPr>
          <w:rFonts w:ascii="Arial" w:hAnsi="Arial" w:cs="Arial"/>
          <w:b/>
          <w:bCs/>
          <w:color w:val="auto"/>
          <w:sz w:val="22"/>
          <w:lang w:val="es-AR"/>
        </w:rPr>
        <w:t>SPACs</w:t>
      </w:r>
      <w:proofErr w:type="spellEnd"/>
      <w:r w:rsidR="00A72815" w:rsidRPr="00D261EB">
        <w:rPr>
          <w:rFonts w:ascii="Arial" w:hAnsi="Arial" w:cs="Arial"/>
          <w:color w:val="auto"/>
          <w:sz w:val="22"/>
          <w:lang w:val="es-AR"/>
        </w:rPr>
        <w:t xml:space="preserve"> (</w:t>
      </w:r>
      <w:proofErr w:type="spellStart"/>
      <w:r w:rsidR="00A72815" w:rsidRPr="00D261EB">
        <w:rPr>
          <w:rFonts w:ascii="Arial" w:hAnsi="Arial" w:cs="Arial"/>
          <w:color w:val="auto"/>
          <w:sz w:val="22"/>
          <w:lang w:val="es-AR"/>
        </w:rPr>
        <w:t>Special</w:t>
      </w:r>
      <w:proofErr w:type="spellEnd"/>
      <w:r w:rsidR="00A72815" w:rsidRPr="00D261EB">
        <w:rPr>
          <w:rFonts w:ascii="Arial" w:hAnsi="Arial" w:cs="Arial"/>
          <w:color w:val="auto"/>
          <w:sz w:val="22"/>
          <w:lang w:val="es-AR"/>
        </w:rPr>
        <w:t xml:space="preserve"> </w:t>
      </w:r>
      <w:proofErr w:type="spellStart"/>
      <w:r w:rsidR="00A72815" w:rsidRPr="00D261EB">
        <w:rPr>
          <w:rFonts w:ascii="Arial" w:hAnsi="Arial" w:cs="Arial"/>
          <w:color w:val="auto"/>
          <w:sz w:val="22"/>
          <w:lang w:val="es-AR"/>
        </w:rPr>
        <w:t>Purpose</w:t>
      </w:r>
      <w:proofErr w:type="spellEnd"/>
      <w:r w:rsidR="00A72815" w:rsidRPr="00D261EB">
        <w:rPr>
          <w:rFonts w:ascii="Arial" w:hAnsi="Arial" w:cs="Arial"/>
          <w:color w:val="auto"/>
          <w:sz w:val="22"/>
          <w:lang w:val="es-AR"/>
        </w:rPr>
        <w:t xml:space="preserve"> </w:t>
      </w:r>
      <w:proofErr w:type="spellStart"/>
      <w:r w:rsidR="00A72815" w:rsidRPr="00D261EB">
        <w:rPr>
          <w:rFonts w:ascii="Arial" w:hAnsi="Arial" w:cs="Arial"/>
          <w:color w:val="auto"/>
          <w:sz w:val="22"/>
          <w:lang w:val="es-AR"/>
        </w:rPr>
        <w:t>Acquisition</w:t>
      </w:r>
      <w:proofErr w:type="spellEnd"/>
      <w:r w:rsidR="00A72815" w:rsidRPr="00D261EB">
        <w:rPr>
          <w:rFonts w:ascii="Arial" w:hAnsi="Arial" w:cs="Arial"/>
          <w:color w:val="auto"/>
          <w:sz w:val="22"/>
          <w:lang w:val="es-AR"/>
        </w:rPr>
        <w:t xml:space="preserve"> </w:t>
      </w:r>
      <w:proofErr w:type="spellStart"/>
      <w:r w:rsidR="00A72815" w:rsidRPr="00D261EB">
        <w:rPr>
          <w:rFonts w:ascii="Arial" w:hAnsi="Arial" w:cs="Arial"/>
          <w:color w:val="auto"/>
          <w:sz w:val="22"/>
          <w:lang w:val="es-AR"/>
        </w:rPr>
        <w:t>Companies</w:t>
      </w:r>
      <w:proofErr w:type="spellEnd"/>
      <w:r w:rsidR="00A72815" w:rsidRPr="00D261EB">
        <w:rPr>
          <w:rFonts w:ascii="Arial" w:hAnsi="Arial" w:cs="Arial"/>
          <w:color w:val="auto"/>
          <w:sz w:val="22"/>
          <w:lang w:val="es-AR"/>
        </w:rPr>
        <w:t>)</w:t>
      </w:r>
      <w:r>
        <w:rPr>
          <w:rFonts w:ascii="Arial" w:hAnsi="Arial" w:cs="Arial"/>
          <w:color w:val="auto"/>
          <w:sz w:val="22"/>
          <w:lang w:val="es-AR"/>
        </w:rPr>
        <w:t xml:space="preserve">. </w:t>
      </w:r>
      <w:r w:rsidRPr="00D261EB">
        <w:rPr>
          <w:rFonts w:ascii="Arial" w:hAnsi="Arial" w:cs="Arial"/>
          <w:color w:val="auto"/>
          <w:sz w:val="22"/>
          <w:lang w:val="es-AR"/>
        </w:rPr>
        <w:t xml:space="preserve">Las </w:t>
      </w:r>
      <w:proofErr w:type="spellStart"/>
      <w:r w:rsidRPr="00D261EB">
        <w:rPr>
          <w:rFonts w:ascii="Arial" w:hAnsi="Arial" w:cs="Arial"/>
          <w:color w:val="auto"/>
          <w:sz w:val="22"/>
          <w:lang w:val="es-AR"/>
        </w:rPr>
        <w:t>SPACs</w:t>
      </w:r>
      <w:proofErr w:type="spellEnd"/>
      <w:r w:rsidRPr="00D261EB">
        <w:rPr>
          <w:rFonts w:ascii="Arial" w:hAnsi="Arial" w:cs="Arial"/>
          <w:color w:val="auto"/>
          <w:sz w:val="22"/>
          <w:lang w:val="es-AR"/>
        </w:rPr>
        <w:t xml:space="preserve"> son </w:t>
      </w:r>
      <w:r w:rsidR="00396EAD">
        <w:rPr>
          <w:rFonts w:ascii="Arial" w:hAnsi="Arial" w:cs="Arial"/>
          <w:color w:val="auto"/>
          <w:sz w:val="22"/>
          <w:lang w:val="es-AR"/>
        </w:rPr>
        <w:t>empresas</w:t>
      </w:r>
      <w:r w:rsidRPr="00D261EB">
        <w:rPr>
          <w:rFonts w:ascii="Arial" w:hAnsi="Arial" w:cs="Arial"/>
          <w:color w:val="auto"/>
          <w:sz w:val="22"/>
          <w:lang w:val="es-AR"/>
        </w:rPr>
        <w:t xml:space="preserve"> públicas (con cotización en el mercado) creadas con el único propósito de adquirir una o más empresas. Este tipo de entidades fueron populares antes de la crisis financiera de 2007-</w:t>
      </w:r>
      <w:r>
        <w:rPr>
          <w:rFonts w:ascii="Arial" w:hAnsi="Arial" w:cs="Arial"/>
          <w:color w:val="auto"/>
          <w:sz w:val="22"/>
          <w:lang w:val="es-AR"/>
        </w:rPr>
        <w:t>20</w:t>
      </w:r>
      <w:r w:rsidRPr="00D261EB">
        <w:rPr>
          <w:rFonts w:ascii="Arial" w:hAnsi="Arial" w:cs="Arial"/>
          <w:color w:val="auto"/>
          <w:sz w:val="22"/>
          <w:lang w:val="es-AR"/>
        </w:rPr>
        <w:t>08, pero el impacto de la crisis las hizo perder vigencia. No obstante, estas estructuras han regresado</w:t>
      </w:r>
      <w:r>
        <w:rPr>
          <w:rFonts w:ascii="Arial" w:hAnsi="Arial" w:cs="Arial"/>
          <w:color w:val="auto"/>
          <w:sz w:val="22"/>
          <w:lang w:val="es-AR"/>
        </w:rPr>
        <w:t xml:space="preserve"> </w:t>
      </w:r>
      <w:r w:rsidRPr="00D261EB">
        <w:rPr>
          <w:rFonts w:ascii="Arial" w:hAnsi="Arial" w:cs="Arial"/>
          <w:color w:val="auto"/>
          <w:sz w:val="22"/>
          <w:lang w:val="es-AR"/>
        </w:rPr>
        <w:t>obteniendo USD 11 mil millones en 2018, USD 14 mil millones en 2019, USD 83 mil millones en 2020 (un crecimiento de 500% respecto de 2019) y, entre los meses de enero y marzo de 2021, ya han superado la marca del año 2020.</w:t>
      </w:r>
      <w:r w:rsidR="00EB17F3">
        <w:rPr>
          <w:rFonts w:ascii="Arial" w:hAnsi="Arial" w:cs="Arial"/>
          <w:color w:val="auto"/>
          <w:sz w:val="22"/>
          <w:lang w:val="es-AR"/>
        </w:rPr>
        <w:t xml:space="preserve"> B</w:t>
      </w:r>
      <w:r w:rsidR="00A72815" w:rsidRPr="00D261EB">
        <w:rPr>
          <w:rFonts w:ascii="Arial" w:hAnsi="Arial" w:cs="Arial"/>
          <w:color w:val="auto"/>
          <w:sz w:val="22"/>
          <w:lang w:val="es-AR"/>
        </w:rPr>
        <w:t xml:space="preserve">uscan </w:t>
      </w:r>
      <w:r w:rsidR="00EB17F3">
        <w:rPr>
          <w:rFonts w:ascii="Arial" w:hAnsi="Arial" w:cs="Arial"/>
          <w:color w:val="auto"/>
          <w:sz w:val="22"/>
          <w:lang w:val="es-AR"/>
        </w:rPr>
        <w:t xml:space="preserve">también </w:t>
      </w:r>
      <w:r w:rsidR="00A72815" w:rsidRPr="00D261EB">
        <w:rPr>
          <w:rFonts w:ascii="Arial" w:hAnsi="Arial" w:cs="Arial"/>
          <w:color w:val="auto"/>
          <w:sz w:val="22"/>
          <w:lang w:val="es-AR"/>
        </w:rPr>
        <w:t>inversiones en Latinoamérica</w:t>
      </w:r>
      <w:r w:rsidR="00EB17F3">
        <w:rPr>
          <w:rFonts w:ascii="Arial" w:hAnsi="Arial" w:cs="Arial"/>
          <w:color w:val="auto"/>
          <w:sz w:val="22"/>
          <w:lang w:val="es-AR"/>
        </w:rPr>
        <w:t xml:space="preserve"> </w:t>
      </w:r>
      <w:r w:rsidR="00A72815" w:rsidRPr="00D261EB">
        <w:rPr>
          <w:rFonts w:ascii="Arial" w:hAnsi="Arial" w:cs="Arial"/>
          <w:color w:val="auto"/>
          <w:sz w:val="22"/>
          <w:lang w:val="es-AR"/>
        </w:rPr>
        <w:t xml:space="preserve">y desempeñan un rol protagónico en el mercado de Estados Unidos. Nuevamente, el sector tecnológico es el principal </w:t>
      </w:r>
      <w:r w:rsidR="00EB17F3">
        <w:rPr>
          <w:rFonts w:ascii="Arial" w:hAnsi="Arial" w:cs="Arial"/>
          <w:color w:val="auto"/>
          <w:sz w:val="22"/>
          <w:lang w:val="es-AR"/>
        </w:rPr>
        <w:t>actor</w:t>
      </w:r>
      <w:r>
        <w:rPr>
          <w:rFonts w:ascii="Arial" w:hAnsi="Arial" w:cs="Arial"/>
          <w:color w:val="auto"/>
          <w:sz w:val="22"/>
          <w:lang w:val="es-AR"/>
        </w:rPr>
        <w:t xml:space="preserve">. </w:t>
      </w:r>
      <w:r w:rsidR="00D261EB" w:rsidRPr="00D261EB">
        <w:rPr>
          <w:rFonts w:ascii="Arial" w:hAnsi="Arial" w:cs="Arial"/>
          <w:color w:val="auto"/>
          <w:sz w:val="22"/>
          <w:lang w:val="es-AR"/>
        </w:rPr>
        <w:t xml:space="preserve">Este es otro signo de la dinámica que están adoptando las fusiones y adquisiciones en un contexto de exceso de liquidez internacional. </w:t>
      </w:r>
    </w:p>
    <w:p w14:paraId="6CF8E359" w14:textId="77777777" w:rsidR="009F23EC" w:rsidRDefault="009F23EC" w:rsidP="00542CAE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</w:pPr>
    </w:p>
    <w:p w14:paraId="3BDCF312" w14:textId="21716F8A" w:rsidR="00765342" w:rsidRPr="00D261EB" w:rsidRDefault="003B2D7F" w:rsidP="00765342">
      <w:pPr>
        <w:jc w:val="both"/>
        <w:rPr>
          <w:rFonts w:ascii="Arial" w:hAnsi="Arial" w:cs="Arial"/>
          <w:b/>
          <w:bCs/>
          <w:color w:val="auto"/>
          <w:sz w:val="22"/>
          <w:lang w:val="es-AR"/>
        </w:rPr>
      </w:pPr>
      <w:r w:rsidRPr="009A62E3">
        <w:rPr>
          <w:rFonts w:ascii="Arial" w:eastAsiaTheme="minorEastAsia" w:hAnsi="Arial" w:cs="Arial"/>
          <w:i/>
          <w:iCs/>
          <w:kern w:val="24"/>
          <w:sz w:val="22"/>
          <w:lang w:val="es-ES_tradnl" w:eastAsia="es-AR"/>
        </w:rPr>
        <w:t>“</w:t>
      </w:r>
      <w:r w:rsidR="00BC0AAC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 xml:space="preserve">La actividad de M&amp;A a nivel global comenzó </w:t>
      </w:r>
      <w:r w:rsidR="005D6D98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 xml:space="preserve">en </w:t>
      </w:r>
      <w:r w:rsidR="00BC0AAC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 xml:space="preserve">2021 con un arrastre del </w:t>
      </w:r>
      <w:r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>momento</w:t>
      </w:r>
      <w:r w:rsidR="00BC0AAC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 xml:space="preserve"> positivo del último trimestre de</w:t>
      </w:r>
      <w:r w:rsidR="005D6D98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>l año pasado</w:t>
      </w:r>
      <w:r w:rsidR="00BC0AAC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>.</w:t>
      </w:r>
      <w:r w:rsidRPr="00AC3267">
        <w:rPr>
          <w:rFonts w:ascii="Arial" w:hAnsi="Arial" w:cs="Arial"/>
          <w:i/>
          <w:iCs/>
          <w:color w:val="auto"/>
          <w:sz w:val="22"/>
          <w:lang w:val="es-AR" w:eastAsia="es-AR"/>
        </w:rPr>
        <w:t xml:space="preserve"> </w:t>
      </w:r>
      <w:r w:rsidR="00BC0AAC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 xml:space="preserve">La región más activa fue </w:t>
      </w:r>
      <w:r w:rsidR="00EB17F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 xml:space="preserve">la del norte de América </w:t>
      </w:r>
      <w:r w:rsidR="005D6D98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 xml:space="preserve">liderada por </w:t>
      </w:r>
      <w:r w:rsidR="00BC0AAC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 xml:space="preserve">Estados Unidos </w:t>
      </w:r>
      <w:r w:rsidR="005D6D98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 xml:space="preserve">que alcanzó </w:t>
      </w:r>
      <w:r w:rsidR="00BC0AAC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>una participación de 54,4%.</w:t>
      </w:r>
      <w:r w:rsidRPr="00AC3267">
        <w:rPr>
          <w:rFonts w:ascii="Arial" w:hAnsi="Arial" w:cs="Arial"/>
          <w:i/>
          <w:iCs/>
          <w:color w:val="auto"/>
          <w:sz w:val="22"/>
          <w:lang w:val="es-AR" w:eastAsia="es-AR"/>
        </w:rPr>
        <w:t xml:space="preserve"> </w:t>
      </w:r>
      <w:r w:rsidR="005D6D98" w:rsidRPr="00AC3267">
        <w:rPr>
          <w:rFonts w:ascii="Arial" w:hAnsi="Arial" w:cs="Arial"/>
          <w:i/>
          <w:iCs/>
          <w:color w:val="auto"/>
          <w:sz w:val="22"/>
          <w:lang w:val="es-AR" w:eastAsia="es-AR"/>
        </w:rPr>
        <w:t xml:space="preserve">Y </w:t>
      </w:r>
      <w:r w:rsidR="00EB17F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>t</w:t>
      </w:r>
      <w:r w:rsidR="00BC0AAC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>ecnología continuó siendo el sector de mayor relevancia, con un 24% de participación</w:t>
      </w:r>
      <w:r w:rsidR="0058433F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 xml:space="preserve">.  </w:t>
      </w:r>
      <w:r w:rsidR="0058433F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 xml:space="preserve">La recuperación en la región se encuentra mayormente impulsada por Brasil, que registró un deal </w:t>
      </w:r>
      <w:proofErr w:type="spellStart"/>
      <w:r w:rsidR="0058433F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>value</w:t>
      </w:r>
      <w:proofErr w:type="spellEnd"/>
      <w:r w:rsidR="0058433F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 xml:space="preserve"> acumulado de USD 22 mil millones en el trimestre</w:t>
      </w:r>
      <w:r w:rsidR="009A62E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 xml:space="preserve">. Se </w:t>
      </w:r>
      <w:r w:rsidR="00EB17F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>observó</w:t>
      </w:r>
      <w:r w:rsidR="009A62E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 xml:space="preserve"> también un récord de salidas de fondos de </w:t>
      </w:r>
      <w:proofErr w:type="spellStart"/>
      <w:r w:rsidR="009A62E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>private</w:t>
      </w:r>
      <w:proofErr w:type="spellEnd"/>
      <w:r w:rsidR="009A62E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 xml:space="preserve"> </w:t>
      </w:r>
      <w:proofErr w:type="spellStart"/>
      <w:r w:rsidR="009A62E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>equity</w:t>
      </w:r>
      <w:proofErr w:type="spellEnd"/>
      <w:r w:rsidR="009A62E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 xml:space="preserve"> en un trimestre, totalizando 14 transacciones por USD 9 mil millones.</w:t>
      </w:r>
      <w:r w:rsidR="009A62E3" w:rsidRPr="00AC3267">
        <w:rPr>
          <w:rFonts w:ascii="Arial" w:hAnsi="Arial" w:cs="Arial"/>
          <w:i/>
          <w:iCs/>
          <w:color w:val="auto"/>
          <w:sz w:val="22"/>
          <w:lang w:val="es-AR"/>
        </w:rPr>
        <w:t xml:space="preserve"> </w:t>
      </w:r>
      <w:r w:rsidR="009A62E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 xml:space="preserve">El sector más activo del trimestre en la región fue el de </w:t>
      </w:r>
      <w:r w:rsidR="00EB17F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>e</w:t>
      </w:r>
      <w:r w:rsidR="009A62E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 xml:space="preserve">nergía y </w:t>
      </w:r>
      <w:r w:rsidR="00EB17F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>r</w:t>
      </w:r>
      <w:r w:rsidR="009A62E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 xml:space="preserve">ecursos </w:t>
      </w:r>
      <w:r w:rsidR="00EB17F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>n</w:t>
      </w:r>
      <w:r w:rsidR="009A62E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 xml:space="preserve">aturales, </w:t>
      </w:r>
      <w:r w:rsidR="00EB17F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 xml:space="preserve">donde </w:t>
      </w:r>
      <w:r w:rsidR="009A62E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 xml:space="preserve">el total de </w:t>
      </w:r>
      <w:r w:rsidR="00EB17F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 xml:space="preserve">cantidad de </w:t>
      </w:r>
      <w:r w:rsidR="009A62E3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/>
        </w:rPr>
        <w:t>transacciones ascendió a 32 por un valor de USD 9,4 mil millones,</w:t>
      </w:r>
      <w:r w:rsidR="0058433F" w:rsidRPr="00AC3267">
        <w:rPr>
          <w:rFonts w:ascii="Arial" w:eastAsiaTheme="minorEastAsia" w:hAnsi="Arial" w:cs="Arial"/>
          <w:i/>
          <w:iCs/>
          <w:color w:val="auto"/>
          <w:kern w:val="24"/>
          <w:sz w:val="22"/>
          <w:lang w:val="es-ES_tradnl" w:eastAsia="es-AR"/>
        </w:rPr>
        <w:t>”</w:t>
      </w:r>
      <w:r w:rsidRPr="00AC3267">
        <w:rPr>
          <w:rFonts w:ascii="Arial" w:hAnsi="Arial" w:cs="Arial"/>
          <w:color w:val="auto"/>
          <w:sz w:val="22"/>
          <w:lang w:val="es-AR" w:eastAsia="es-AR"/>
        </w:rPr>
        <w:t xml:space="preserve"> </w:t>
      </w:r>
      <w:r w:rsidR="00BC0AAC" w:rsidRPr="00AC3267">
        <w:rPr>
          <w:rFonts w:ascii="Arial" w:eastAsiaTheme="minorEastAsia" w:hAnsi="Arial" w:cs="Arial"/>
          <w:color w:val="auto"/>
          <w:kern w:val="24"/>
          <w:sz w:val="22"/>
          <w:lang w:val="es-ES_tradnl" w:eastAsia="es-AR"/>
        </w:rPr>
        <w:t>afirma</w:t>
      </w:r>
      <w:r w:rsidR="00765342" w:rsidRPr="00AC3267">
        <w:rPr>
          <w:rFonts w:ascii="Arial" w:eastAsiaTheme="minorEastAsia" w:hAnsi="Arial" w:cs="Arial"/>
          <w:color w:val="auto"/>
          <w:kern w:val="24"/>
          <w:sz w:val="22"/>
          <w:lang w:val="es-ES_tradnl" w:eastAsia="es-AR"/>
        </w:rPr>
        <w:t xml:space="preserve"> </w:t>
      </w:r>
      <w:r w:rsidR="00765342" w:rsidRPr="00D261EB">
        <w:rPr>
          <w:rFonts w:ascii="Arial" w:hAnsi="Arial" w:cs="Arial"/>
          <w:b/>
          <w:bCs/>
          <w:color w:val="auto"/>
          <w:sz w:val="22"/>
          <w:lang w:val="es-AR"/>
        </w:rPr>
        <w:t>Andrea</w:t>
      </w:r>
      <w:r w:rsidR="00765342" w:rsidRPr="00077A95">
        <w:rPr>
          <w:rFonts w:ascii="Arial" w:hAnsi="Arial" w:cs="Arial"/>
          <w:b/>
          <w:bCs/>
          <w:color w:val="auto"/>
          <w:sz w:val="22"/>
          <w:lang w:val="es-AR"/>
        </w:rPr>
        <w:t xml:space="preserve"> Oteiza</w:t>
      </w:r>
      <w:r w:rsidR="00765342" w:rsidRPr="00D261EB">
        <w:rPr>
          <w:rFonts w:ascii="Arial" w:hAnsi="Arial" w:cs="Arial"/>
          <w:b/>
          <w:bCs/>
          <w:color w:val="auto"/>
          <w:sz w:val="22"/>
          <w:lang w:val="es-AR"/>
        </w:rPr>
        <w:t xml:space="preserve"> </w:t>
      </w:r>
      <w:r w:rsidR="00765342" w:rsidRPr="00077A95">
        <w:rPr>
          <w:rFonts w:ascii="Arial" w:hAnsi="Arial" w:cs="Arial"/>
          <w:b/>
          <w:bCs/>
          <w:color w:val="auto"/>
          <w:sz w:val="22"/>
          <w:lang w:val="es-AR"/>
        </w:rPr>
        <w:t xml:space="preserve">Socia a cargo de </w:t>
      </w:r>
      <w:r w:rsidR="00765342" w:rsidRPr="00D261EB">
        <w:rPr>
          <w:rFonts w:ascii="Arial" w:hAnsi="Arial" w:cs="Arial"/>
          <w:b/>
          <w:bCs/>
          <w:color w:val="auto"/>
          <w:sz w:val="22"/>
          <w:lang w:val="es-AR"/>
        </w:rPr>
        <w:t xml:space="preserve">Deal </w:t>
      </w:r>
      <w:proofErr w:type="spellStart"/>
      <w:r w:rsidR="00765342" w:rsidRPr="00D261EB">
        <w:rPr>
          <w:rFonts w:ascii="Arial" w:hAnsi="Arial" w:cs="Arial"/>
          <w:b/>
          <w:bCs/>
          <w:color w:val="auto"/>
          <w:sz w:val="22"/>
          <w:lang w:val="es-AR"/>
        </w:rPr>
        <w:t>Advisory</w:t>
      </w:r>
      <w:proofErr w:type="spellEnd"/>
      <w:r w:rsidR="00765342" w:rsidRPr="00D261EB">
        <w:rPr>
          <w:rFonts w:ascii="Arial" w:hAnsi="Arial" w:cs="Arial"/>
          <w:b/>
          <w:bCs/>
          <w:color w:val="auto"/>
          <w:sz w:val="22"/>
          <w:lang w:val="es-AR"/>
        </w:rPr>
        <w:t xml:space="preserve"> en </w:t>
      </w:r>
      <w:r w:rsidR="00AC3267">
        <w:rPr>
          <w:rFonts w:ascii="Arial" w:hAnsi="Arial" w:cs="Arial"/>
          <w:b/>
          <w:bCs/>
          <w:color w:val="auto"/>
          <w:sz w:val="22"/>
          <w:lang w:val="es-AR"/>
        </w:rPr>
        <w:t xml:space="preserve">KPMG </w:t>
      </w:r>
      <w:r w:rsidR="00BE65FA" w:rsidRPr="00D261EB">
        <w:rPr>
          <w:rFonts w:ascii="Arial" w:hAnsi="Arial" w:cs="Arial"/>
          <w:b/>
          <w:bCs/>
          <w:color w:val="auto"/>
          <w:sz w:val="22"/>
          <w:lang w:val="es-AR"/>
        </w:rPr>
        <w:t>Argentina</w:t>
      </w:r>
      <w:r w:rsidR="00BE65FA">
        <w:rPr>
          <w:rFonts w:ascii="Arial" w:hAnsi="Arial" w:cs="Arial"/>
          <w:b/>
          <w:bCs/>
          <w:color w:val="auto"/>
          <w:sz w:val="22"/>
          <w:lang w:val="es-AR"/>
        </w:rPr>
        <w:t>.</w:t>
      </w:r>
      <w:r w:rsidR="00BE65FA">
        <w:rPr>
          <w:rFonts w:ascii="Arial" w:hAnsi="Arial" w:cs="Arial"/>
          <w:color w:val="auto"/>
          <w:sz w:val="22"/>
          <w:lang w:val="es-AR"/>
        </w:rPr>
        <w:t xml:space="preserve"> -</w:t>
      </w:r>
    </w:p>
    <w:p w14:paraId="3489B01B" w14:textId="77777777" w:rsidR="00BC0AAC" w:rsidRPr="003B2D7F" w:rsidRDefault="00BC0AAC" w:rsidP="00542CAE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</w:pPr>
    </w:p>
    <w:p w14:paraId="21EEE329" w14:textId="77777777" w:rsidR="00BC0AAC" w:rsidRDefault="00BC0AAC" w:rsidP="00542CAE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</w:pPr>
    </w:p>
    <w:p w14:paraId="3A166372" w14:textId="471F96F4" w:rsidR="00AC3267" w:rsidRPr="008D3B12" w:rsidRDefault="00AC3267" w:rsidP="00542CAE">
      <w:pPr>
        <w:pStyle w:val="Volanta"/>
        <w:tabs>
          <w:tab w:val="left" w:pos="8025"/>
        </w:tabs>
        <w:jc w:val="both"/>
        <w:rPr>
          <w:rFonts w:ascii="Arial" w:hAnsi="Arial" w:cs="Arial"/>
          <w:b w:val="0"/>
          <w:color w:val="auto"/>
          <w:kern w:val="0"/>
          <w:sz w:val="22"/>
          <w:szCs w:val="22"/>
          <w:lang w:val="es-AR"/>
        </w:rPr>
        <w:sectPr w:rsidR="00AC3267" w:rsidRPr="008D3B12" w:rsidSect="00295E19">
          <w:footerReference w:type="default" r:id="rId12"/>
          <w:headerReference w:type="first" r:id="rId13"/>
          <w:type w:val="continuous"/>
          <w:pgSz w:w="11907" w:h="16839" w:code="9"/>
          <w:pgMar w:top="1440" w:right="1107" w:bottom="1440" w:left="1080" w:header="360" w:footer="720" w:gutter="0"/>
          <w:cols w:space="720"/>
          <w:titlePg/>
          <w:docGrid w:linePitch="360"/>
        </w:sectPr>
      </w:pPr>
    </w:p>
    <w:p w14:paraId="70C93F40" w14:textId="77777777" w:rsidR="003F0655" w:rsidRPr="00054C16" w:rsidRDefault="003F0655" w:rsidP="00A203FA">
      <w:pPr>
        <w:spacing w:before="0" w:after="0"/>
        <w:rPr>
          <w:color w:val="auto"/>
          <w:sz w:val="22"/>
          <w:lang w:val="es-AR"/>
        </w:rPr>
      </w:pPr>
    </w:p>
    <w:tbl>
      <w:tblPr>
        <w:tblStyle w:val="ListTable5Dark-Accent5"/>
        <w:tblW w:w="0" w:type="auto"/>
        <w:tblInd w:w="198" w:type="dxa"/>
        <w:tblLook w:val="0600" w:firstRow="0" w:lastRow="0" w:firstColumn="0" w:lastColumn="0" w:noHBand="1" w:noVBand="1"/>
      </w:tblPr>
      <w:tblGrid>
        <w:gridCol w:w="9402"/>
      </w:tblGrid>
      <w:tr w:rsidR="00331AD8" w:rsidRPr="007551FA" w14:paraId="35D5F351" w14:textId="77777777" w:rsidTr="007E56CC">
        <w:trPr>
          <w:trHeight w:val="1659"/>
        </w:trPr>
        <w:tc>
          <w:tcPr>
            <w:tcW w:w="9402" w:type="dxa"/>
            <w:vAlign w:val="center"/>
          </w:tcPr>
          <w:p w14:paraId="74AAC54F" w14:textId="77777777" w:rsidR="00E17636" w:rsidRPr="003858E8" w:rsidRDefault="00E17636" w:rsidP="00070F68">
            <w:pPr>
              <w:keepNext/>
              <w:spacing w:before="0" w:after="0"/>
              <w:mirrorIndents/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3858E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MX"/>
              </w:rPr>
              <w:t>Acerca de KPMG Internacional</w:t>
            </w:r>
          </w:p>
          <w:p w14:paraId="56605FBC" w14:textId="77777777" w:rsidR="00E17636" w:rsidRPr="00E17636" w:rsidRDefault="00E17636" w:rsidP="00E17636">
            <w:pPr>
              <w:spacing w:before="0" w:after="0"/>
              <w:rPr>
                <w:lang w:val="es-MX"/>
              </w:rPr>
            </w:pPr>
          </w:p>
          <w:p w14:paraId="2B56A3C8" w14:textId="3F6A2F52" w:rsidR="004D761B" w:rsidRPr="00331AD8" w:rsidRDefault="003858E8" w:rsidP="003858E8">
            <w:pPr>
              <w:widowControl w:val="0"/>
              <w:autoSpaceDE w:val="0"/>
              <w:autoSpaceDN w:val="0"/>
              <w:spacing w:before="2" w:after="0"/>
              <w:ind w:right="170"/>
              <w:rPr>
                <w:rFonts w:ascii="Arial" w:hAnsi="Arial" w:cs="Arial"/>
                <w:color w:val="FFFFFF" w:themeColor="background1"/>
              </w:rPr>
            </w:pPr>
            <w:r w:rsidRPr="003858E8">
              <w:rPr>
                <w:rFonts w:ascii="Arial" w:hAnsi="Arial" w:cs="Arial"/>
                <w:color w:val="FFFFFF" w:themeColor="background1"/>
                <w:sz w:val="18"/>
                <w:lang w:val="es-AR"/>
              </w:rPr>
              <w:t xml:space="preserve">KPMG es una organización global de firmas de servicios profesionales independientes que brindan servicios de auditoría, impuestos y asesoría. Operamos en 146 países y jurisdicciones y contamos con 227.000 personas trabajando en firmas miembro en todo el mundo. Cada firma de KPMG es una entidad legalmente distinta y separada y se describe a sí misma como tal. KPMG International </w:t>
            </w:r>
            <w:proofErr w:type="spellStart"/>
            <w:r w:rsidRPr="003858E8">
              <w:rPr>
                <w:rFonts w:ascii="Arial" w:hAnsi="Arial" w:cs="Arial"/>
                <w:color w:val="FFFFFF" w:themeColor="background1"/>
                <w:sz w:val="18"/>
                <w:lang w:val="es-AR"/>
              </w:rPr>
              <w:t>Limited</w:t>
            </w:r>
            <w:proofErr w:type="spellEnd"/>
            <w:r w:rsidRPr="003858E8">
              <w:rPr>
                <w:rFonts w:ascii="Arial" w:hAnsi="Arial" w:cs="Arial"/>
                <w:color w:val="FFFFFF" w:themeColor="background1"/>
                <w:sz w:val="18"/>
                <w:lang w:val="es-AR"/>
              </w:rPr>
              <w:t xml:space="preserve"> es una entidad privada inglesa limitada por garantía. KPMG International </w:t>
            </w:r>
            <w:proofErr w:type="spellStart"/>
            <w:r w:rsidRPr="003858E8">
              <w:rPr>
                <w:rFonts w:ascii="Arial" w:hAnsi="Arial" w:cs="Arial"/>
                <w:color w:val="FFFFFF" w:themeColor="background1"/>
                <w:sz w:val="18"/>
                <w:lang w:val="es-AR"/>
              </w:rPr>
              <w:t>Limited</w:t>
            </w:r>
            <w:proofErr w:type="spellEnd"/>
            <w:r w:rsidRPr="003858E8">
              <w:rPr>
                <w:rFonts w:ascii="Arial" w:hAnsi="Arial" w:cs="Arial"/>
                <w:color w:val="FFFFFF" w:themeColor="background1"/>
                <w:sz w:val="18"/>
                <w:lang w:val="es-AR"/>
              </w:rPr>
              <w:t xml:space="preserve"> no brinda servicios a los clientes</w:t>
            </w:r>
            <w:r w:rsidRPr="00573E71">
              <w:rPr>
                <w:rFonts w:ascii="Arial" w:hAnsi="Arial" w:cs="Arial"/>
                <w:color w:val="FFFFFF" w:themeColor="background1"/>
                <w:lang w:val="es-ES_tradnl"/>
              </w:rPr>
              <w:t>.</w:t>
            </w:r>
            <w:r w:rsidRPr="00573F0A">
              <w:rPr>
                <w:rFonts w:ascii="Arial" w:hAnsi="Arial" w:cs="Arial"/>
                <w:lang w:val="es-ES_tradnl"/>
              </w:rPr>
              <w:br/>
            </w:r>
          </w:p>
        </w:tc>
      </w:tr>
    </w:tbl>
    <w:p w14:paraId="1236E724" w14:textId="77777777" w:rsidR="00743F0A" w:rsidRDefault="00743F0A" w:rsidP="006E4F1D">
      <w:pPr>
        <w:pStyle w:val="acerca-kpmg"/>
        <w:mirrorIndents/>
        <w:rPr>
          <w:rFonts w:ascii="Arial" w:hAnsi="Arial" w:cs="Arial"/>
        </w:rPr>
      </w:pPr>
    </w:p>
    <w:tbl>
      <w:tblPr>
        <w:tblStyle w:val="ListTable5Dark-Accent5"/>
        <w:tblW w:w="0" w:type="auto"/>
        <w:tblInd w:w="198" w:type="dxa"/>
        <w:tblLook w:val="0600" w:firstRow="0" w:lastRow="0" w:firstColumn="0" w:lastColumn="0" w:noHBand="1" w:noVBand="1"/>
      </w:tblPr>
      <w:tblGrid>
        <w:gridCol w:w="9402"/>
      </w:tblGrid>
      <w:tr w:rsidR="00731B15" w:rsidRPr="00862544" w14:paraId="246E0BF5" w14:textId="77777777" w:rsidTr="007E56CC">
        <w:trPr>
          <w:trHeight w:val="1479"/>
        </w:trPr>
        <w:tc>
          <w:tcPr>
            <w:tcW w:w="9402" w:type="dxa"/>
            <w:vAlign w:val="center"/>
          </w:tcPr>
          <w:p w14:paraId="5F4E0307" w14:textId="4237034E" w:rsidR="00731B15" w:rsidRPr="00731B15" w:rsidRDefault="003858E8" w:rsidP="00070F68">
            <w:pPr>
              <w:pStyle w:val="Heading3"/>
              <w:spacing w:before="0" w:after="0"/>
              <w:mirrorIndents/>
              <w:outlineLvl w:val="2"/>
              <w:rPr>
                <w:rFonts w:ascii="Arial" w:hAnsi="Arial" w:cs="Arial"/>
                <w:color w:val="FFFFFF" w:themeColor="background1"/>
                <w:szCs w:val="24"/>
                <w:lang w:val="es-MX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val="es-MX"/>
              </w:rPr>
              <w:t xml:space="preserve">Acerca de </w:t>
            </w:r>
            <w:r w:rsidR="00731B15" w:rsidRPr="00731B15">
              <w:rPr>
                <w:rFonts w:ascii="Arial" w:hAnsi="Arial" w:cs="Arial"/>
                <w:color w:val="FFFFFF" w:themeColor="background1"/>
                <w:szCs w:val="24"/>
                <w:lang w:val="es-MX"/>
              </w:rPr>
              <w:t xml:space="preserve">KPMG Argentina </w:t>
            </w:r>
          </w:p>
          <w:p w14:paraId="42521510" w14:textId="77777777" w:rsidR="00070F68" w:rsidRDefault="00070F68" w:rsidP="00070F68">
            <w:pPr>
              <w:pStyle w:val="acerca-kpmg"/>
              <w:mirrorIndents/>
              <w:jc w:val="both"/>
              <w:rPr>
                <w:rFonts w:ascii="Arial" w:hAnsi="Arial" w:cs="Arial"/>
                <w:color w:val="FFFFFF" w:themeColor="background1"/>
              </w:rPr>
            </w:pPr>
          </w:p>
          <w:p w14:paraId="2BBA4822" w14:textId="721EBDB6" w:rsidR="00731B15" w:rsidRPr="00331AD8" w:rsidRDefault="00731B15" w:rsidP="00070F68">
            <w:pPr>
              <w:pStyle w:val="acerca-kpmg"/>
              <w:mirrorIndents/>
              <w:jc w:val="both"/>
              <w:rPr>
                <w:rFonts w:ascii="Arial" w:hAnsi="Arial" w:cs="Arial"/>
                <w:color w:val="FFFFFF" w:themeColor="background1"/>
              </w:rPr>
            </w:pPr>
            <w:r w:rsidRPr="00331AD8">
              <w:rPr>
                <w:rFonts w:ascii="Arial" w:hAnsi="Arial" w:cs="Arial"/>
                <w:color w:val="FFFFFF" w:themeColor="background1"/>
              </w:rPr>
              <w:t xml:space="preserve">En Argentina </w:t>
            </w:r>
            <w:r w:rsidR="00031507">
              <w:rPr>
                <w:rFonts w:ascii="Arial" w:hAnsi="Arial" w:cs="Arial"/>
                <w:color w:val="FFFFFF" w:themeColor="background1"/>
              </w:rPr>
              <w:t>s</w:t>
            </w:r>
            <w:r w:rsidR="00031507" w:rsidRPr="00031507">
              <w:rPr>
                <w:rFonts w:ascii="Arial" w:hAnsi="Arial" w:cs="Arial"/>
                <w:color w:val="FFFFFF" w:themeColor="background1"/>
              </w:rPr>
              <w:t>omos un equipo multidiscip</w:t>
            </w:r>
            <w:r w:rsidR="004D761B">
              <w:rPr>
                <w:rFonts w:ascii="Arial" w:hAnsi="Arial" w:cs="Arial"/>
                <w:color w:val="FFFFFF" w:themeColor="background1"/>
              </w:rPr>
              <w:t>linario integrado por más de 1.</w:t>
            </w:r>
            <w:r w:rsidR="004C09DA">
              <w:rPr>
                <w:rFonts w:ascii="Arial" w:hAnsi="Arial" w:cs="Arial"/>
                <w:color w:val="FFFFFF" w:themeColor="background1"/>
              </w:rPr>
              <w:t>25</w:t>
            </w:r>
            <w:r w:rsidR="004D761B">
              <w:rPr>
                <w:rFonts w:ascii="Arial" w:hAnsi="Arial" w:cs="Arial"/>
                <w:color w:val="FFFFFF" w:themeColor="background1"/>
              </w:rPr>
              <w:t>0 profesionales</w:t>
            </w:r>
            <w:r w:rsidR="00031507" w:rsidRPr="00031507">
              <w:rPr>
                <w:rFonts w:ascii="Arial" w:hAnsi="Arial" w:cs="Arial"/>
                <w:color w:val="FFFFFF" w:themeColor="background1"/>
              </w:rPr>
              <w:t xml:space="preserve"> que ofrecemos servicios de asesoría, impuestos</w:t>
            </w:r>
            <w:r w:rsidR="00031507">
              <w:rPr>
                <w:rFonts w:ascii="Arial" w:hAnsi="Arial" w:cs="Arial"/>
                <w:color w:val="FFFFFF" w:themeColor="background1"/>
              </w:rPr>
              <w:t xml:space="preserve"> y legales</w:t>
            </w:r>
            <w:r w:rsidR="00031507" w:rsidRPr="00031507">
              <w:rPr>
                <w:rFonts w:ascii="Arial" w:hAnsi="Arial" w:cs="Arial"/>
                <w:color w:val="FFFFFF" w:themeColor="background1"/>
              </w:rPr>
              <w:t xml:space="preserve"> y auditoría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. </w:t>
            </w:r>
            <w:r w:rsidR="00031507">
              <w:rPr>
                <w:rFonts w:ascii="Arial" w:hAnsi="Arial" w:cs="Arial"/>
                <w:color w:val="FFFFFF" w:themeColor="background1"/>
              </w:rPr>
              <w:t>Contamos con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 oficinas en </w:t>
            </w:r>
            <w:r w:rsidR="001D3458">
              <w:rPr>
                <w:rFonts w:ascii="Arial" w:hAnsi="Arial" w:cs="Arial"/>
                <w:color w:val="FFFFFF" w:themeColor="background1"/>
              </w:rPr>
              <w:t xml:space="preserve">la </w:t>
            </w:r>
            <w:r w:rsidR="001D3458" w:rsidRPr="001D3458">
              <w:rPr>
                <w:rFonts w:ascii="Arial" w:hAnsi="Arial" w:cs="Arial"/>
                <w:color w:val="FFFFFF" w:themeColor="background1"/>
              </w:rPr>
              <w:t>Ciudad de Buenos Aires</w:t>
            </w:r>
            <w:r w:rsidR="001D3458">
              <w:rPr>
                <w:rFonts w:ascii="Arial" w:hAnsi="Arial" w:cs="Arial"/>
                <w:color w:val="FFFFFF" w:themeColor="background1"/>
              </w:rPr>
              <w:t xml:space="preserve">, </w:t>
            </w:r>
            <w:r w:rsidR="001D3458" w:rsidRPr="001D3458">
              <w:rPr>
                <w:rFonts w:ascii="Arial" w:hAnsi="Arial" w:cs="Arial"/>
                <w:color w:val="FFFFFF" w:themeColor="background1"/>
              </w:rPr>
              <w:t>Córdoba</w:t>
            </w:r>
            <w:r w:rsidR="00355630">
              <w:rPr>
                <w:rFonts w:ascii="Arial" w:hAnsi="Arial" w:cs="Arial"/>
                <w:color w:val="FFFFFF" w:themeColor="background1"/>
              </w:rPr>
              <w:t xml:space="preserve"> y</w:t>
            </w:r>
            <w:r w:rsidR="001D345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1D3458" w:rsidRPr="001D3458">
              <w:rPr>
                <w:rFonts w:ascii="Arial" w:hAnsi="Arial" w:cs="Arial"/>
                <w:color w:val="FFFFFF" w:themeColor="background1"/>
              </w:rPr>
              <w:t>Rosario</w:t>
            </w:r>
            <w:r w:rsidR="001D3458">
              <w:rPr>
                <w:rFonts w:ascii="Arial" w:hAnsi="Arial" w:cs="Arial"/>
                <w:color w:val="FFFFFF" w:themeColor="background1"/>
              </w:rPr>
              <w:t xml:space="preserve">, 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y representaciones comerciales en </w:t>
            </w:r>
            <w:r w:rsidR="00031507" w:rsidRPr="00331AD8">
              <w:rPr>
                <w:rFonts w:ascii="Arial" w:hAnsi="Arial" w:cs="Arial"/>
                <w:color w:val="FFFFFF" w:themeColor="background1"/>
              </w:rPr>
              <w:t>Mendoza</w:t>
            </w:r>
            <w:r w:rsidR="00070F6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31507">
              <w:rPr>
                <w:rFonts w:ascii="Arial" w:hAnsi="Arial" w:cs="Arial"/>
                <w:color w:val="FFFFFF" w:themeColor="background1"/>
              </w:rPr>
              <w:t xml:space="preserve">y 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Tucumán </w:t>
            </w:r>
            <w:r w:rsidR="00031507">
              <w:rPr>
                <w:rFonts w:ascii="Arial" w:hAnsi="Arial" w:cs="Arial"/>
                <w:color w:val="FFFFFF" w:themeColor="background1"/>
              </w:rPr>
              <w:t>que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31507">
              <w:rPr>
                <w:rFonts w:ascii="Arial" w:hAnsi="Arial" w:cs="Arial"/>
                <w:color w:val="FFFFFF" w:themeColor="background1"/>
              </w:rPr>
              <w:t>nos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 permiten consolidar </w:t>
            </w:r>
            <w:r w:rsidR="00031507">
              <w:rPr>
                <w:rFonts w:ascii="Arial" w:hAnsi="Arial" w:cs="Arial"/>
                <w:color w:val="FFFFFF" w:themeColor="background1"/>
              </w:rPr>
              <w:t>nuestra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 posición en el mercado y fortalecer </w:t>
            </w:r>
            <w:r w:rsidR="00031507">
              <w:rPr>
                <w:rFonts w:ascii="Arial" w:hAnsi="Arial" w:cs="Arial"/>
                <w:color w:val="FFFFFF" w:themeColor="background1"/>
              </w:rPr>
              <w:t>la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 presencia en los centros estratégicos </w:t>
            </w:r>
            <w:r w:rsidR="00031507">
              <w:rPr>
                <w:rFonts w:ascii="Arial" w:hAnsi="Arial" w:cs="Arial"/>
                <w:color w:val="FFFFFF" w:themeColor="background1"/>
              </w:rPr>
              <w:t>del país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. </w:t>
            </w:r>
          </w:p>
        </w:tc>
      </w:tr>
    </w:tbl>
    <w:p w14:paraId="2CCD740C" w14:textId="06B5067E" w:rsidR="00440696" w:rsidRDefault="00440696" w:rsidP="00295E19">
      <w:pPr>
        <w:pStyle w:val="acerca-kpmg"/>
        <w:ind w:left="90"/>
        <w:mirrorIndents/>
        <w:rPr>
          <w:rFonts w:ascii="Arial" w:hAnsi="Arial" w:cs="Arial"/>
        </w:rPr>
      </w:pPr>
    </w:p>
    <w:p w14:paraId="69C6CB6A" w14:textId="0A7691D4" w:rsidR="00AC3267" w:rsidRDefault="00AC3267" w:rsidP="00295E19">
      <w:pPr>
        <w:pStyle w:val="acerca-kpmg"/>
        <w:ind w:left="90"/>
        <w:mirrorIndents/>
        <w:rPr>
          <w:rFonts w:ascii="Arial" w:hAnsi="Arial" w:cs="Arial"/>
        </w:rPr>
      </w:pPr>
    </w:p>
    <w:p w14:paraId="01C53036" w14:textId="04D731F5" w:rsidR="00AC3267" w:rsidRDefault="00AC3267" w:rsidP="00295E19">
      <w:pPr>
        <w:pStyle w:val="acerca-kpmg"/>
        <w:ind w:left="90"/>
        <w:mirrorIndents/>
        <w:rPr>
          <w:rFonts w:ascii="Arial" w:hAnsi="Arial" w:cs="Arial"/>
        </w:rPr>
      </w:pPr>
    </w:p>
    <w:p w14:paraId="4EA4292C" w14:textId="0ACC4B0E" w:rsidR="00AC3267" w:rsidRDefault="00AC3267" w:rsidP="00295E19">
      <w:pPr>
        <w:pStyle w:val="acerca-kpmg"/>
        <w:ind w:left="90"/>
        <w:mirrorIndents/>
        <w:rPr>
          <w:rFonts w:ascii="Arial" w:hAnsi="Arial" w:cs="Arial"/>
        </w:rPr>
      </w:pPr>
    </w:p>
    <w:p w14:paraId="5A68069D" w14:textId="63D2AD85" w:rsidR="00AC3267" w:rsidRDefault="00AC3267" w:rsidP="00295E19">
      <w:pPr>
        <w:pStyle w:val="acerca-kpmg"/>
        <w:ind w:left="90"/>
        <w:mirrorIndents/>
        <w:rPr>
          <w:rFonts w:ascii="Arial" w:hAnsi="Arial" w:cs="Arial"/>
        </w:rPr>
      </w:pPr>
    </w:p>
    <w:p w14:paraId="2457A428" w14:textId="77777777" w:rsidR="00AC3267" w:rsidRDefault="00AC3267" w:rsidP="00295E19">
      <w:pPr>
        <w:pStyle w:val="acerca-kpmg"/>
        <w:ind w:left="90"/>
        <w:mirrorIndents/>
        <w:rPr>
          <w:rFonts w:ascii="Arial" w:hAnsi="Arial" w:cs="Arial"/>
        </w:rPr>
      </w:pPr>
    </w:p>
    <w:p w14:paraId="36018F98" w14:textId="77777777" w:rsidR="00CC11C8" w:rsidRPr="00207140" w:rsidRDefault="00CC11C8" w:rsidP="008C2C04">
      <w:pPr>
        <w:pStyle w:val="acerca-kpmg"/>
        <w:mirrorIndents/>
        <w:rPr>
          <w:rFonts w:ascii="Arial" w:hAnsi="Arial" w:cs="Arial"/>
        </w:rPr>
      </w:pPr>
    </w:p>
    <w:tbl>
      <w:tblPr>
        <w:tblW w:w="9432" w:type="dxa"/>
        <w:tblInd w:w="198" w:type="dxa"/>
        <w:tblBorders>
          <w:top w:val="single" w:sz="18" w:space="0" w:color="4F81BD"/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642"/>
        <w:gridCol w:w="1934"/>
        <w:gridCol w:w="646"/>
        <w:gridCol w:w="1503"/>
        <w:gridCol w:w="226"/>
        <w:gridCol w:w="649"/>
        <w:gridCol w:w="1481"/>
        <w:gridCol w:w="662"/>
        <w:gridCol w:w="1689"/>
      </w:tblGrid>
      <w:tr w:rsidR="003A6C06" w:rsidRPr="00207140" w14:paraId="7DE9D525" w14:textId="77777777" w:rsidTr="007E56CC">
        <w:trPr>
          <w:trHeight w:val="252"/>
        </w:trPr>
        <w:tc>
          <w:tcPr>
            <w:tcW w:w="9432" w:type="dxa"/>
            <w:gridSpan w:val="9"/>
            <w:shd w:val="clear" w:color="auto" w:fill="DBE5F1"/>
          </w:tcPr>
          <w:p w14:paraId="74EE8824" w14:textId="77777777" w:rsidR="003A6C06" w:rsidRPr="00731B15" w:rsidRDefault="003A6C06" w:rsidP="00295E19">
            <w:pPr>
              <w:ind w:left="90"/>
              <w:rPr>
                <w:rStyle w:val="BookTitle"/>
                <w:rFonts w:ascii="Arial" w:hAnsi="Arial" w:cs="Arial"/>
                <w:color w:val="0070C0"/>
              </w:rPr>
            </w:pPr>
            <w:proofErr w:type="spellStart"/>
            <w:r w:rsidRPr="00731B15">
              <w:rPr>
                <w:rStyle w:val="BookTitle"/>
                <w:rFonts w:ascii="Arial" w:hAnsi="Arial" w:cs="Arial"/>
                <w:color w:val="0070C0"/>
                <w:sz w:val="24"/>
              </w:rPr>
              <w:lastRenderedPageBreak/>
              <w:t>Contactos</w:t>
            </w:r>
            <w:proofErr w:type="spellEnd"/>
            <w:r w:rsidR="00015B5B" w:rsidRPr="00731B15">
              <w:rPr>
                <w:rStyle w:val="BookTitle"/>
                <w:rFonts w:ascii="Arial" w:hAnsi="Arial" w:cs="Arial"/>
                <w:color w:val="0070C0"/>
                <w:sz w:val="24"/>
              </w:rPr>
              <w:t xml:space="preserve"> de Prensa</w:t>
            </w:r>
          </w:p>
        </w:tc>
      </w:tr>
      <w:tr w:rsidR="009C2DF7" w:rsidRPr="009F23EC" w14:paraId="1A6D8AF1" w14:textId="77777777" w:rsidTr="007E56CC">
        <w:trPr>
          <w:trHeight w:val="1759"/>
        </w:trPr>
        <w:tc>
          <w:tcPr>
            <w:tcW w:w="9432" w:type="dxa"/>
            <w:gridSpan w:val="9"/>
            <w:tcBorders>
              <w:bottom w:val="nil"/>
            </w:tcBorders>
            <w:shd w:val="clear" w:color="auto" w:fill="DBE5F1"/>
          </w:tcPr>
          <w:p w14:paraId="0EA2E741" w14:textId="77777777" w:rsidR="00440696" w:rsidRDefault="00440696" w:rsidP="00295E19">
            <w:pPr>
              <w:spacing w:before="0" w:after="0"/>
              <w:ind w:left="90"/>
              <w:rPr>
                <w:rStyle w:val="BookTitle"/>
                <w:rFonts w:ascii="Arial" w:hAnsi="Arial" w:cs="Arial"/>
                <w:color w:val="auto"/>
                <w:lang w:val="nl-NL"/>
              </w:rPr>
            </w:pPr>
            <w:r>
              <w:rPr>
                <w:rStyle w:val="BookTitle"/>
                <w:rFonts w:ascii="Arial" w:hAnsi="Arial" w:cs="Arial"/>
                <w:color w:val="auto"/>
                <w:lang w:val="nl-NL"/>
              </w:rPr>
              <w:t>Claudio Negrete</w:t>
            </w:r>
            <w:r w:rsidR="004D761B">
              <w:rPr>
                <w:rStyle w:val="BookTitle"/>
                <w:rFonts w:ascii="Arial" w:hAnsi="Arial" w:cs="Arial"/>
                <w:color w:val="auto"/>
                <w:lang w:val="nl-NL"/>
              </w:rPr>
              <w:t xml:space="preserve"> Williams</w:t>
            </w:r>
          </w:p>
          <w:p w14:paraId="1A8E5101" w14:textId="004D1E34" w:rsidR="00440696" w:rsidRPr="00731B15" w:rsidRDefault="00440696" w:rsidP="00295E19">
            <w:pPr>
              <w:spacing w:before="0" w:after="0"/>
              <w:ind w:left="90"/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</w:pPr>
            <w:r w:rsidRPr="00731B15"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  <w:t xml:space="preserve">Gerente </w:t>
            </w:r>
            <w:r w:rsidR="006877C9"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de Comunicaciones </w:t>
            </w:r>
          </w:p>
          <w:p w14:paraId="60C6432A" w14:textId="77777777" w:rsidR="00440696" w:rsidRPr="00731B15" w:rsidRDefault="00440696" w:rsidP="00295E19">
            <w:pPr>
              <w:spacing w:before="0" w:after="0"/>
              <w:ind w:left="90"/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</w:pPr>
            <w:r w:rsidRPr="00731B15"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  <w:t>KPMG Argentina</w:t>
            </w:r>
          </w:p>
          <w:p w14:paraId="310B9E1E" w14:textId="77777777" w:rsidR="00440696" w:rsidRPr="00731B15" w:rsidRDefault="00862544" w:rsidP="00295E19">
            <w:pPr>
              <w:spacing w:before="0" w:after="0"/>
              <w:ind w:left="90"/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</w:pPr>
            <w:hyperlink r:id="rId14" w:history="1">
              <w:r w:rsidR="00440696" w:rsidRPr="00731B15">
                <w:rPr>
                  <w:rStyle w:val="Hyperlink"/>
                  <w:rFonts w:ascii="Arial" w:hAnsi="Arial" w:cs="Arial"/>
                  <w:spacing w:val="5"/>
                  <w:sz w:val="18"/>
                  <w:szCs w:val="18"/>
                  <w:lang w:val="nl-NL"/>
                </w:rPr>
                <w:t>cnegretewilliams@kpmg.com.ar</w:t>
              </w:r>
            </w:hyperlink>
          </w:p>
          <w:p w14:paraId="25BDA20B" w14:textId="77777777" w:rsidR="00440696" w:rsidRPr="00731B15" w:rsidRDefault="00440696" w:rsidP="00295E19">
            <w:pPr>
              <w:spacing w:before="0" w:after="0"/>
              <w:ind w:left="90"/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</w:pPr>
            <w:r w:rsidRPr="00731B15"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  <w:t>Tel: 4316-5700 interno 5895</w:t>
            </w:r>
          </w:p>
          <w:p w14:paraId="3D8D894A" w14:textId="77777777" w:rsidR="00A6516F" w:rsidRPr="007B4F2D" w:rsidRDefault="00A6516F" w:rsidP="00A6516F">
            <w:pPr>
              <w:pStyle w:val="contactos"/>
              <w:ind w:left="90"/>
              <w:rPr>
                <w:rStyle w:val="BookTitle"/>
                <w:lang w:val="nl-NL"/>
              </w:rPr>
            </w:pPr>
          </w:p>
          <w:p w14:paraId="2D8CDCCE" w14:textId="50A74EF9" w:rsidR="00A6516F" w:rsidRPr="00A6516F" w:rsidRDefault="00A6516F" w:rsidP="00A6516F">
            <w:pPr>
              <w:pStyle w:val="contactos"/>
              <w:ind w:left="90"/>
              <w:rPr>
                <w:rStyle w:val="BookTitle"/>
                <w:rFonts w:ascii="Arial" w:hAnsi="Arial" w:cs="Arial"/>
                <w:b w:val="0"/>
                <w:bCs w:val="0"/>
                <w:color w:val="auto"/>
                <w:spacing w:val="0"/>
                <w:szCs w:val="18"/>
              </w:rPr>
            </w:pPr>
            <w:r w:rsidRPr="006B6ADC">
              <w:rPr>
                <w:rStyle w:val="BookTitle"/>
                <w:rFonts w:ascii="Arial" w:hAnsi="Arial"/>
                <w:bCs w:val="0"/>
                <w:color w:val="auto"/>
              </w:rPr>
              <w:t>Stella Rey Palermo</w:t>
            </w:r>
          </w:p>
          <w:p w14:paraId="0FFF92D8" w14:textId="77777777" w:rsidR="00A6516F" w:rsidRDefault="00A6516F" w:rsidP="00A6516F">
            <w:pPr>
              <w:spacing w:before="0" w:after="0"/>
              <w:ind w:left="90"/>
              <w:rPr>
                <w:rStyle w:val="BookTitle"/>
                <w:rFonts w:ascii="Arial" w:hAnsi="Arial"/>
                <w:b w:val="0"/>
                <w:color w:val="auto"/>
                <w:lang w:val="es-AR"/>
              </w:rPr>
            </w:pPr>
            <w:r w:rsidRPr="0066776B"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 xml:space="preserve">Directora </w:t>
            </w:r>
            <w:r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 xml:space="preserve">de </w:t>
            </w:r>
            <w:r w:rsidRPr="0066776B"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>Clientes y Mercados</w:t>
            </w:r>
            <w:r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 xml:space="preserve">, </w:t>
            </w:r>
            <w:r w:rsidRPr="0066776B"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>Marketing y Comunicaciones</w:t>
            </w:r>
          </w:p>
          <w:p w14:paraId="5AB1314C" w14:textId="77777777" w:rsidR="00A6516F" w:rsidRPr="000D6116" w:rsidRDefault="00A6516F" w:rsidP="00A6516F">
            <w:pPr>
              <w:spacing w:before="0" w:after="0"/>
              <w:ind w:left="90"/>
              <w:rPr>
                <w:rStyle w:val="BookTitle"/>
                <w:rFonts w:ascii="Arial" w:hAnsi="Arial"/>
                <w:b w:val="0"/>
                <w:bCs w:val="0"/>
                <w:color w:val="auto"/>
              </w:rPr>
            </w:pPr>
            <w:r w:rsidRPr="000D6116">
              <w:rPr>
                <w:rStyle w:val="BookTitle"/>
                <w:rFonts w:ascii="Arial" w:hAnsi="Arial"/>
                <w:b w:val="0"/>
                <w:bCs w:val="0"/>
                <w:color w:val="auto"/>
              </w:rPr>
              <w:t>KPMG Argentina</w:t>
            </w:r>
          </w:p>
          <w:p w14:paraId="5ABD1FBA" w14:textId="77777777" w:rsidR="00A6516F" w:rsidRPr="000D6116" w:rsidRDefault="00862544" w:rsidP="00A6516F">
            <w:pPr>
              <w:spacing w:before="0" w:after="0"/>
              <w:ind w:left="90"/>
              <w:rPr>
                <w:rStyle w:val="BookTitle"/>
                <w:rFonts w:ascii="Arial" w:hAnsi="Arial"/>
                <w:b w:val="0"/>
                <w:bCs w:val="0"/>
                <w:color w:val="auto"/>
              </w:rPr>
            </w:pPr>
            <w:hyperlink r:id="rId15" w:history="1">
              <w:r w:rsidR="00A6516F" w:rsidRPr="000D6116">
                <w:rPr>
                  <w:rStyle w:val="Hyperlink"/>
                  <w:rFonts w:ascii="Arial" w:hAnsi="Arial"/>
                  <w:spacing w:val="5"/>
                  <w:sz w:val="18"/>
                </w:rPr>
                <w:t>stellarey@kpmg.com.ar</w:t>
              </w:r>
            </w:hyperlink>
          </w:p>
          <w:p w14:paraId="24770AB9" w14:textId="77777777" w:rsidR="00A6516F" w:rsidRPr="006B6ADC" w:rsidRDefault="00A6516F" w:rsidP="00A6516F">
            <w:pPr>
              <w:spacing w:before="0" w:after="0"/>
              <w:ind w:left="90"/>
              <w:rPr>
                <w:rStyle w:val="BookTitle"/>
                <w:rFonts w:ascii="Arial" w:hAnsi="Arial"/>
                <w:b w:val="0"/>
                <w:bCs w:val="0"/>
                <w:color w:val="auto"/>
                <w:lang w:val="es-AR"/>
              </w:rPr>
            </w:pPr>
            <w:r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 xml:space="preserve">Tel: 11 </w:t>
            </w:r>
            <w:r w:rsidRPr="0066776B"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>4316-5700 interno 5981</w:t>
            </w:r>
          </w:p>
          <w:p w14:paraId="240792AE" w14:textId="77777777" w:rsidR="004302EB" w:rsidRDefault="004302EB" w:rsidP="00295E19">
            <w:pPr>
              <w:pStyle w:val="contactos"/>
              <w:ind w:left="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430455E" w14:textId="4ABE284C" w:rsidR="00934EC4" w:rsidRPr="00934EC4" w:rsidRDefault="00934EC4" w:rsidP="00934EC4">
            <w:pPr>
              <w:autoSpaceDE w:val="0"/>
              <w:autoSpaceDN w:val="0"/>
              <w:adjustRightInd w:val="0"/>
              <w:spacing w:before="0" w:after="0"/>
              <w:rPr>
                <w:rStyle w:val="BookTitle"/>
                <w:rFonts w:ascii="Arial" w:hAnsi="Arial" w:cs="Arial"/>
                <w:bCs w:val="0"/>
                <w:color w:val="auto"/>
                <w:lang w:val="es-AR"/>
              </w:rPr>
            </w:pPr>
            <w:r>
              <w:rPr>
                <w:rStyle w:val="BookTitle"/>
                <w:rFonts w:ascii="Arial" w:hAnsi="Arial" w:cs="Arial"/>
                <w:bCs w:val="0"/>
                <w:color w:val="auto"/>
                <w:lang w:val="es-AR"/>
              </w:rPr>
              <w:t xml:space="preserve">  </w:t>
            </w:r>
            <w:r w:rsidRPr="00934EC4">
              <w:rPr>
                <w:rStyle w:val="BookTitle"/>
                <w:rFonts w:ascii="Arial" w:hAnsi="Arial" w:cs="Arial"/>
                <w:bCs w:val="0"/>
                <w:color w:val="auto"/>
                <w:lang w:val="es-AR"/>
              </w:rPr>
              <w:t>Tamara Vinitzky</w:t>
            </w:r>
          </w:p>
          <w:p w14:paraId="23E5EA74" w14:textId="77777777" w:rsidR="00934EC4" w:rsidRDefault="00934EC4" w:rsidP="00934EC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  </w:t>
            </w:r>
            <w:r w:rsidRPr="00934EC4"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Socia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a cargo de Clientes &amp; Mercados, </w:t>
            </w:r>
          </w:p>
          <w:p w14:paraId="06602127" w14:textId="08A0A763" w:rsidR="00934EC4" w:rsidRDefault="00934EC4" w:rsidP="00934EC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  Marketing &amp; Comunicaciones </w:t>
            </w:r>
            <w:r w:rsidRPr="00934EC4"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>y Diversidad</w:t>
            </w:r>
          </w:p>
          <w:p w14:paraId="5EA3B8B2" w14:textId="77777777" w:rsidR="00934EC4" w:rsidRPr="00A6516F" w:rsidRDefault="00934EC4" w:rsidP="00934EC4">
            <w:pPr>
              <w:pStyle w:val="contactos"/>
              <w:ind w:left="90"/>
              <w:rPr>
                <w:rStyle w:val="Hyperlink"/>
              </w:rPr>
            </w:pPr>
            <w:r w:rsidRPr="00A6516F">
              <w:rPr>
                <w:rStyle w:val="Hyperlink"/>
                <w:rFonts w:ascii="Arial" w:hAnsi="Arial" w:cs="Arial"/>
                <w:sz w:val="18"/>
                <w:szCs w:val="18"/>
              </w:rPr>
              <w:t>tvinitzky@kpmg.com.ar</w:t>
            </w:r>
          </w:p>
          <w:p w14:paraId="30E47DA1" w14:textId="3D280734" w:rsidR="00934EC4" w:rsidRPr="00934EC4" w:rsidRDefault="00934EC4" w:rsidP="00934EC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  </w:t>
            </w:r>
            <w:r w:rsidRPr="00934EC4"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>Tel:11 4316 5828</w:t>
            </w:r>
          </w:p>
          <w:p w14:paraId="5192F2BE" w14:textId="77777777" w:rsidR="004302EB" w:rsidRPr="00731B15" w:rsidRDefault="004302EB" w:rsidP="00295E19">
            <w:pPr>
              <w:pStyle w:val="contactos"/>
              <w:ind w:left="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323619D" w14:textId="77777777" w:rsidR="009F23EC" w:rsidRDefault="009F23EC" w:rsidP="00295E19">
            <w:pPr>
              <w:pStyle w:val="contactos"/>
              <w:tabs>
                <w:tab w:val="left" w:pos="1845"/>
              </w:tabs>
              <w:ind w:left="90"/>
              <w:rPr>
                <w:rFonts w:ascii="Arial" w:hAnsi="Arial" w:cs="Arial"/>
                <w:sz w:val="22"/>
              </w:rPr>
            </w:pPr>
          </w:p>
          <w:p w14:paraId="379CC2D3" w14:textId="52E485A5" w:rsidR="009C2DF7" w:rsidRPr="003858E8" w:rsidRDefault="00862544" w:rsidP="00295E19">
            <w:pPr>
              <w:pStyle w:val="contactos"/>
              <w:tabs>
                <w:tab w:val="left" w:pos="1845"/>
              </w:tabs>
              <w:ind w:left="90"/>
              <w:rPr>
                <w:rFonts w:ascii="Arial" w:hAnsi="Arial" w:cs="Arial"/>
                <w:color w:val="0070C0"/>
                <w:sz w:val="22"/>
              </w:rPr>
            </w:pPr>
            <w:hyperlink r:id="rId16" w:history="1">
              <w:r w:rsidR="009F23EC" w:rsidRPr="003858E8">
                <w:rPr>
                  <w:rStyle w:val="Hyperlink"/>
                  <w:rFonts w:ascii="Arial" w:hAnsi="Arial" w:cs="Arial"/>
                  <w:color w:val="0070C0"/>
                  <w:sz w:val="22"/>
                </w:rPr>
                <w:t>https://home.kpmg/ar/es/home/media/press-releases.html</w:t>
              </w:r>
            </w:hyperlink>
          </w:p>
          <w:p w14:paraId="4137F2E1" w14:textId="6433F076" w:rsidR="009F23EC" w:rsidRPr="009F23EC" w:rsidRDefault="009F23EC" w:rsidP="00295E19">
            <w:pPr>
              <w:pStyle w:val="contactos"/>
              <w:tabs>
                <w:tab w:val="left" w:pos="1845"/>
              </w:tabs>
              <w:ind w:left="9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11C8" w:rsidRPr="009F23EC" w14:paraId="4FD5A3AA" w14:textId="77777777" w:rsidTr="00CC11C8">
        <w:trPr>
          <w:trHeight w:val="306"/>
        </w:trPr>
        <w:tc>
          <w:tcPr>
            <w:tcW w:w="9432" w:type="dxa"/>
            <w:gridSpan w:val="9"/>
            <w:tcBorders>
              <w:bottom w:val="nil"/>
            </w:tcBorders>
            <w:shd w:val="clear" w:color="auto" w:fill="DBE5F1"/>
          </w:tcPr>
          <w:p w14:paraId="7777F3EC" w14:textId="719FD813" w:rsidR="00CC11C8" w:rsidRPr="00CC11C8" w:rsidRDefault="00CC11C8" w:rsidP="009F23EC">
            <w:pPr>
              <w:spacing w:before="0" w:after="0"/>
              <w:rPr>
                <w:rStyle w:val="BookTitle"/>
                <w:rFonts w:ascii="Arial" w:hAnsi="Arial" w:cs="Arial"/>
                <w:b w:val="0"/>
                <w:color w:val="auto"/>
                <w:lang w:val="es-AR"/>
              </w:rPr>
            </w:pPr>
          </w:p>
        </w:tc>
      </w:tr>
      <w:tr w:rsidR="00837716" w:rsidRPr="00207140" w14:paraId="248074A0" w14:textId="77777777" w:rsidTr="007E56CC">
        <w:trPr>
          <w:trHeight w:val="405"/>
        </w:trPr>
        <w:tc>
          <w:tcPr>
            <w:tcW w:w="4725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F47F35" w14:textId="77777777" w:rsidR="00837716" w:rsidRPr="00A45F94" w:rsidRDefault="00837716" w:rsidP="005939CF">
            <w:pPr>
              <w:rPr>
                <w:b/>
              </w:rPr>
            </w:pPr>
            <w:r w:rsidRPr="00A45F94"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1B0961C2" wp14:editId="51F7FD1B">
                  <wp:simplePos x="0" y="0"/>
                  <wp:positionH relativeFrom="column">
                    <wp:posOffset>-2867660</wp:posOffset>
                  </wp:positionH>
                  <wp:positionV relativeFrom="paragraph">
                    <wp:posOffset>273050</wp:posOffset>
                  </wp:positionV>
                  <wp:extent cx="266700" cy="266700"/>
                  <wp:effectExtent l="0" t="0" r="0" b="0"/>
                  <wp:wrapNone/>
                  <wp:docPr id="37" name="Picture 1" descr="Twitter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9" w:tgtFrame="_blank" w:history="1">
              <w:r w:rsidRPr="00A45F94">
                <w:rPr>
                  <w:rStyle w:val="Hyperlink"/>
                  <w:b/>
                </w:rPr>
                <w:t>kpmg.com/</w:t>
              </w:r>
              <w:proofErr w:type="spellStart"/>
              <w:r w:rsidRPr="00A45F94">
                <w:rPr>
                  <w:rStyle w:val="Hyperlink"/>
                  <w:b/>
                </w:rPr>
                <w:t>socialmedia</w:t>
              </w:r>
              <w:proofErr w:type="spellEnd"/>
            </w:hyperlink>
          </w:p>
        </w:tc>
        <w:tc>
          <w:tcPr>
            <w:tcW w:w="4707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BC0F4EA" w14:textId="77777777" w:rsidR="00837716" w:rsidRPr="00A45F94" w:rsidRDefault="00862544" w:rsidP="00837716">
            <w:pPr>
              <w:rPr>
                <w:b/>
              </w:rPr>
            </w:pPr>
            <w:hyperlink r:id="rId20" w:history="1">
              <w:r w:rsidR="00837716" w:rsidRPr="00A45F94">
                <w:rPr>
                  <w:rStyle w:val="Hyperlink"/>
                  <w:b/>
                </w:rPr>
                <w:t>kpmg.com.ar</w:t>
              </w:r>
            </w:hyperlink>
          </w:p>
        </w:tc>
      </w:tr>
      <w:tr w:rsidR="00837716" w:rsidRPr="00207140" w14:paraId="29C1614D" w14:textId="77777777" w:rsidTr="007E56CC">
        <w:trPr>
          <w:trHeight w:val="477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06D9C4" w14:textId="77777777" w:rsidR="00837716" w:rsidRPr="001B33B3" w:rsidRDefault="00837716" w:rsidP="00837716">
            <w:pPr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1B5E667" wp14:editId="2A54BEFB">
                  <wp:extent cx="270588" cy="265922"/>
                  <wp:effectExtent l="0" t="0" r="0" b="0"/>
                  <wp:docPr id="18" name="Picture 18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.pn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25" b="9941"/>
                          <a:stretch/>
                        </pic:blipFill>
                        <pic:spPr bwMode="auto">
                          <a:xfrm>
                            <a:off x="0" y="0"/>
                            <a:ext cx="270588" cy="265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DD2485" w14:textId="77777777" w:rsidR="00837716" w:rsidRPr="001B33B3" w:rsidRDefault="00837716" w:rsidP="00837716">
            <w:pPr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color w:val="002F86"/>
                <w:sz w:val="16"/>
                <w:szCs w:val="16"/>
                <w:lang w:val="es-AR"/>
              </w:rPr>
              <w:t>@KPMGArgentina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CEE6F1" w14:textId="77777777" w:rsidR="00837716" w:rsidRPr="001B33B3" w:rsidRDefault="00837716" w:rsidP="00837716">
            <w:pPr>
              <w:pStyle w:val="CountryTitleBackCover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02F7A8E" wp14:editId="087D451F">
                  <wp:extent cx="273550" cy="264160"/>
                  <wp:effectExtent l="0" t="0" r="0" b="0"/>
                  <wp:docPr id="38" name="Picture 2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ked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3" r="8527" b="10821"/>
                          <a:stretch/>
                        </pic:blipFill>
                        <pic:spPr bwMode="auto">
                          <a:xfrm>
                            <a:off x="0" y="0"/>
                            <a:ext cx="2735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7EA9A8" w14:textId="77777777" w:rsidR="00837716" w:rsidRPr="001B33B3" w:rsidRDefault="00837716" w:rsidP="00837716">
            <w:pPr>
              <w:pStyle w:val="CountryTitleBackCover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b w:val="0"/>
                <w:bCs w:val="0"/>
                <w:color w:val="002F86"/>
                <w:sz w:val="16"/>
                <w:szCs w:val="16"/>
                <w:lang w:val="es-AR"/>
              </w:rPr>
              <w:t>KPMG Argentina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43F6068" w14:textId="77777777" w:rsidR="00837716" w:rsidRPr="001B33B3" w:rsidRDefault="00837716" w:rsidP="00837716">
            <w:pPr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8D17E31" wp14:editId="27E30607">
                  <wp:extent cx="274955" cy="270209"/>
                  <wp:effectExtent l="0" t="0" r="0" b="0"/>
                  <wp:docPr id="17" name="Picture 17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.png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17" r="9694" b="17925"/>
                          <a:stretch/>
                        </pic:blipFill>
                        <pic:spPr bwMode="auto">
                          <a:xfrm>
                            <a:off x="0" y="0"/>
                            <a:ext cx="274955" cy="270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E624F78" w14:textId="77777777" w:rsidR="00837716" w:rsidRPr="001B33B3" w:rsidRDefault="00837716" w:rsidP="00837716">
            <w:pPr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color w:val="002F86"/>
                <w:sz w:val="16"/>
                <w:szCs w:val="16"/>
                <w:lang w:val="es-AR"/>
              </w:rPr>
              <w:t>KPMG Argentina</w:t>
            </w:r>
          </w:p>
        </w:tc>
        <w:tc>
          <w:tcPr>
            <w:tcW w:w="66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8F98B2" w14:textId="77777777" w:rsidR="00837716" w:rsidRPr="001B33B3" w:rsidRDefault="00837716" w:rsidP="00837716">
            <w:pPr>
              <w:pStyle w:val="CountryTitleBackCover"/>
              <w:spacing w:line="240" w:lineRule="auto"/>
              <w:rPr>
                <w:rFonts w:ascii="Arial" w:hAnsi="Arial" w:cs="Arial"/>
                <w:b w:val="0"/>
                <w:bCs w:val="0"/>
                <w:color w:val="002F86"/>
                <w:sz w:val="16"/>
                <w:szCs w:val="16"/>
                <w:lang w:val="es-AR"/>
              </w:rPr>
            </w:pPr>
            <w:r w:rsidRPr="001B33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B6B076B" wp14:editId="64087BA5">
                  <wp:extent cx="283411" cy="270510"/>
                  <wp:effectExtent l="0" t="0" r="0" b="0"/>
                  <wp:docPr id="16" name="Picture 16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.png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0" r="48716" b="8178"/>
                          <a:stretch/>
                        </pic:blipFill>
                        <pic:spPr bwMode="auto">
                          <a:xfrm>
                            <a:off x="0" y="0"/>
                            <a:ext cx="283492" cy="27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E19FEF" w14:textId="77777777" w:rsidR="00837716" w:rsidRPr="001B33B3" w:rsidRDefault="00837716" w:rsidP="00837716">
            <w:pPr>
              <w:pStyle w:val="CountryTitleBackCover"/>
              <w:spacing w:line="240" w:lineRule="auto"/>
              <w:rPr>
                <w:rFonts w:ascii="Arial" w:hAnsi="Arial" w:cs="Arial"/>
                <w:b w:val="0"/>
                <w:bCs w:val="0"/>
                <w:color w:val="002F86"/>
                <w:sz w:val="16"/>
                <w:szCs w:val="16"/>
                <w:lang w:val="es-AR"/>
              </w:rPr>
            </w:pPr>
            <w:r w:rsidRPr="001B33B3">
              <w:rPr>
                <w:rFonts w:ascii="Arial" w:hAnsi="Arial" w:cs="Arial"/>
                <w:b w:val="0"/>
                <w:bCs w:val="0"/>
                <w:color w:val="002F86"/>
                <w:sz w:val="16"/>
                <w:szCs w:val="16"/>
                <w:lang w:val="es-AR"/>
              </w:rPr>
              <w:t>KPMG AR Talentos</w:t>
            </w:r>
          </w:p>
        </w:tc>
      </w:tr>
      <w:tr w:rsidR="006156CC" w:rsidRPr="00207140" w14:paraId="7F8F7E76" w14:textId="77777777" w:rsidTr="007E56CC">
        <w:trPr>
          <w:trHeight w:val="872"/>
        </w:trPr>
        <w:tc>
          <w:tcPr>
            <w:tcW w:w="9432" w:type="dxa"/>
            <w:gridSpan w:val="9"/>
            <w:tcBorders>
              <w:top w:val="nil"/>
              <w:bottom w:val="single" w:sz="18" w:space="0" w:color="4F81BD"/>
            </w:tcBorders>
            <w:shd w:val="clear" w:color="auto" w:fill="F2F2F2" w:themeFill="background1" w:themeFillShade="F2"/>
          </w:tcPr>
          <w:p w14:paraId="7ABE99C4" w14:textId="77777777" w:rsidR="006156CC" w:rsidRPr="00A45F94" w:rsidRDefault="00862544" w:rsidP="003F0546">
            <w:pPr>
              <w:rPr>
                <w:b/>
              </w:rPr>
            </w:pPr>
            <w:hyperlink r:id="rId28" w:tgtFrame="_blank" w:history="1">
              <w:r w:rsidR="006156CC" w:rsidRPr="00A45F94">
                <w:rPr>
                  <w:rStyle w:val="Hyperlink"/>
                  <w:b/>
                </w:rPr>
                <w:t>kpmg.com/app</w:t>
              </w:r>
            </w:hyperlink>
          </w:p>
          <w:p w14:paraId="7D1DE963" w14:textId="77777777" w:rsidR="006156CC" w:rsidRPr="00731B15" w:rsidRDefault="006156CC" w:rsidP="003F0546">
            <w:r w:rsidRPr="00731B15">
              <w:rPr>
                <w:noProof/>
              </w:rPr>
              <w:drawing>
                <wp:inline distT="0" distB="0" distL="0" distR="0" wp14:anchorId="347C58BC" wp14:editId="2164FE70">
                  <wp:extent cx="933450" cy="276225"/>
                  <wp:effectExtent l="0" t="0" r="0" b="0"/>
                  <wp:docPr id="40" name="Picture 4" descr="Available on the App Store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ailable on the App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F36CAE" w14:textId="77777777" w:rsidR="00731B15" w:rsidRPr="00731B15" w:rsidRDefault="00731B15" w:rsidP="00CC11C8">
      <w:pPr>
        <w:rPr>
          <w:rFonts w:ascii="Arial" w:hAnsi="Arial" w:cs="Arial"/>
        </w:rPr>
      </w:pPr>
    </w:p>
    <w:sectPr w:rsidR="00731B15" w:rsidRPr="00731B15" w:rsidSect="00295E19">
      <w:footerReference w:type="default" r:id="rId30"/>
      <w:headerReference w:type="first" r:id="rId31"/>
      <w:type w:val="continuous"/>
      <w:pgSz w:w="11907" w:h="16839" w:code="9"/>
      <w:pgMar w:top="1440" w:right="1107" w:bottom="1260" w:left="108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B216C" w14:textId="77777777" w:rsidR="00CC1FC7" w:rsidRDefault="00CC1FC7" w:rsidP="00942A00">
      <w:pPr>
        <w:spacing w:before="0" w:after="0"/>
      </w:pPr>
      <w:r>
        <w:separator/>
      </w:r>
    </w:p>
  </w:endnote>
  <w:endnote w:type="continuationSeparator" w:id="0">
    <w:p w14:paraId="7B296F01" w14:textId="77777777" w:rsidR="00CC1FC7" w:rsidRDefault="00CC1FC7" w:rsidP="00942A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4AEB" w14:textId="34573D1D" w:rsidR="00ED7A23" w:rsidRPr="007A0EF1" w:rsidRDefault="00ED7A23" w:rsidP="00ED7A23">
    <w:pPr>
      <w:rPr>
        <w:rFonts w:ascii="Calibri" w:hAnsi="Calibri"/>
        <w:color w:val="auto"/>
        <w:sz w:val="14"/>
        <w:szCs w:val="14"/>
        <w:lang w:val="es-AR"/>
      </w:rPr>
    </w:pPr>
    <w:r w:rsidRPr="007A0EF1">
      <w:rPr>
        <w:rFonts w:ascii="Arial" w:hAnsi="Arial" w:cs="Arial"/>
        <w:color w:val="333333"/>
        <w:sz w:val="14"/>
        <w:szCs w:val="14"/>
        <w:lang w:val="es-AR"/>
      </w:rPr>
      <w:t>© 202</w:t>
    </w:r>
    <w:r w:rsidR="00EB17F3">
      <w:rPr>
        <w:rFonts w:ascii="Arial" w:hAnsi="Arial" w:cs="Arial"/>
        <w:color w:val="333333"/>
        <w:sz w:val="14"/>
        <w:szCs w:val="14"/>
        <w:lang w:val="es-AR"/>
      </w:rPr>
      <w:t>1</w:t>
    </w:r>
    <w:r w:rsidRPr="007A0EF1">
      <w:rPr>
        <w:rFonts w:ascii="Arial" w:hAnsi="Arial" w:cs="Arial"/>
        <w:color w:val="333333"/>
        <w:sz w:val="14"/>
        <w:szCs w:val="14"/>
        <w:lang w:val="es-AR"/>
      </w:rPr>
      <w:t xml:space="preserve"> KPMG, una sociedad argentina y firma miembro de la red de firmas miembro independientes de KPMG afiliadas a KPMG International Ltd., una entidad privada inglesa limitada por garantía que no presta servicios a clientes. Derechos reservados.”</w:t>
    </w:r>
  </w:p>
  <w:p w14:paraId="65E19FDF" w14:textId="3505B067" w:rsidR="00542CAE" w:rsidRDefault="00542CAE" w:rsidP="004C5F15">
    <w:pPr>
      <w:pStyle w:val="Copy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0007" w14:textId="24833384" w:rsidR="007A0EF1" w:rsidRPr="007A0EF1" w:rsidRDefault="007A0EF1" w:rsidP="007A0EF1">
    <w:pPr>
      <w:rPr>
        <w:rFonts w:ascii="Calibri" w:hAnsi="Calibri"/>
        <w:color w:val="auto"/>
        <w:sz w:val="14"/>
        <w:szCs w:val="14"/>
        <w:lang w:val="es-AR"/>
      </w:rPr>
    </w:pPr>
    <w:bookmarkStart w:id="0" w:name="_Hlk56001445"/>
    <w:r w:rsidRPr="007A0EF1">
      <w:rPr>
        <w:rFonts w:ascii="Arial" w:hAnsi="Arial" w:cs="Arial"/>
        <w:color w:val="333333"/>
        <w:sz w:val="14"/>
        <w:szCs w:val="14"/>
        <w:lang w:val="es-AR"/>
      </w:rPr>
      <w:t>© 202</w:t>
    </w:r>
    <w:r w:rsidR="007551FA">
      <w:rPr>
        <w:rFonts w:ascii="Arial" w:hAnsi="Arial" w:cs="Arial"/>
        <w:color w:val="333333"/>
        <w:sz w:val="14"/>
        <w:szCs w:val="14"/>
        <w:lang w:val="es-AR"/>
      </w:rPr>
      <w:t>1</w:t>
    </w:r>
    <w:r w:rsidRPr="007A0EF1">
      <w:rPr>
        <w:rFonts w:ascii="Arial" w:hAnsi="Arial" w:cs="Arial"/>
        <w:color w:val="333333"/>
        <w:sz w:val="14"/>
        <w:szCs w:val="14"/>
        <w:lang w:val="es-AR"/>
      </w:rPr>
      <w:t xml:space="preserve"> KPMG, una sociedad argentina y firma miembro de la red de firmas miembro independientes de KPMG afiliadas a KPMG International Ltd., una entidad privada inglesa limitada por garantía que no presta servicios a clientes. Derechos reservados.”</w:t>
    </w:r>
  </w:p>
  <w:bookmarkEnd w:id="0"/>
  <w:p w14:paraId="0F1C7D53" w14:textId="2ECAD5F0" w:rsidR="0021481D" w:rsidRPr="009C2DF7" w:rsidRDefault="0021481D" w:rsidP="004C5F15">
    <w:pPr>
      <w:pStyle w:val="Copy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6A74F" w14:textId="77777777" w:rsidR="00CC1FC7" w:rsidRDefault="00CC1FC7" w:rsidP="00942A00">
      <w:pPr>
        <w:spacing w:before="0" w:after="0"/>
      </w:pPr>
      <w:r>
        <w:separator/>
      </w:r>
    </w:p>
  </w:footnote>
  <w:footnote w:type="continuationSeparator" w:id="0">
    <w:p w14:paraId="4CF3DB7A" w14:textId="77777777" w:rsidR="00CC1FC7" w:rsidRDefault="00CC1FC7" w:rsidP="00942A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63ED1" w14:textId="77777777" w:rsidR="00542CAE" w:rsidRDefault="00542CAE" w:rsidP="006C1171">
    <w:pPr>
      <w:pStyle w:val="Header"/>
      <w:ind w:left="-540" w:right="-603"/>
    </w:pPr>
    <w:r>
      <w:rPr>
        <w:noProof/>
      </w:rPr>
      <w:drawing>
        <wp:inline distT="0" distB="0" distL="0" distR="0" wp14:anchorId="3696A10D" wp14:editId="4BAD51A7">
          <wp:extent cx="6935056" cy="2448375"/>
          <wp:effectExtent l="0" t="0" r="0" b="9525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press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5552" cy="2452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80" w:type="dxa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5933"/>
      <w:gridCol w:w="4047"/>
    </w:tblGrid>
    <w:tr w:rsidR="0021481D" w14:paraId="1CD81E58" w14:textId="77777777" w:rsidTr="00015B5B">
      <w:trPr>
        <w:trHeight w:val="2540"/>
      </w:trPr>
      <w:tc>
        <w:tcPr>
          <w:tcW w:w="5933" w:type="dxa"/>
        </w:tcPr>
        <w:p w14:paraId="5989D25B" w14:textId="77777777" w:rsidR="0021481D" w:rsidRDefault="007A3116" w:rsidP="00F32F6A">
          <w:pPr>
            <w:pStyle w:val="Header"/>
          </w:pPr>
          <w:r>
            <w:rPr>
              <w:noProof/>
            </w:rPr>
            <w:drawing>
              <wp:inline distT="0" distB="0" distL="0" distR="0" wp14:anchorId="502BBA4D" wp14:editId="3896EEEB">
                <wp:extent cx="1266825" cy="552450"/>
                <wp:effectExtent l="19050" t="0" r="9525" b="0"/>
                <wp:docPr id="76" name="Picture 76" descr="logo-estandar+descript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standar+descript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7" w:type="dxa"/>
          <w:vAlign w:val="bottom"/>
        </w:tcPr>
        <w:p w14:paraId="1757C2C8" w14:textId="77777777" w:rsidR="0021481D" w:rsidRDefault="007A3116" w:rsidP="00BD3F11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588A23" wp14:editId="0CB80F40">
                <wp:extent cx="2057400" cy="1647825"/>
                <wp:effectExtent l="19050" t="0" r="0" b="0"/>
                <wp:docPr id="77" name="Picture 77" descr="header-microf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-microf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481D" w14:paraId="7335F52C" w14:textId="77777777" w:rsidTr="00015B5B">
      <w:trPr>
        <w:trHeight w:val="640"/>
      </w:trPr>
      <w:tc>
        <w:tcPr>
          <w:tcW w:w="5933" w:type="dxa"/>
          <w:shd w:val="clear" w:color="auto" w:fill="4F81BD"/>
        </w:tcPr>
        <w:p w14:paraId="2A10C57A" w14:textId="77777777" w:rsidR="0021481D" w:rsidRPr="00B2701B" w:rsidRDefault="0021481D" w:rsidP="00F32F6A">
          <w:pPr>
            <w:pStyle w:val="Title"/>
          </w:pPr>
          <w:r>
            <w:t>Press Release</w:t>
          </w:r>
        </w:p>
      </w:tc>
      <w:tc>
        <w:tcPr>
          <w:tcW w:w="4047" w:type="dxa"/>
          <w:shd w:val="clear" w:color="auto" w:fill="4F81BD"/>
          <w:vAlign w:val="center"/>
        </w:tcPr>
        <w:p w14:paraId="607492F0" w14:textId="32805610" w:rsidR="0021481D" w:rsidRPr="00BD3F11" w:rsidRDefault="00D677FE" w:rsidP="00AF3DCC">
          <w:pPr>
            <w:pStyle w:val="fecha"/>
          </w:pPr>
          <w:r w:rsidRPr="00BD3F11">
            <w:fldChar w:fldCharType="begin"/>
          </w:r>
          <w:r w:rsidR="0021481D" w:rsidRPr="00BD3F11">
            <w:rPr>
              <w:lang w:val="es-AR"/>
            </w:rPr>
            <w:instrText xml:space="preserve"> TIME \@ "dd' de 'MMMM' de 'yyyy" </w:instrText>
          </w:r>
          <w:r w:rsidRPr="00BD3F11">
            <w:fldChar w:fldCharType="separate"/>
          </w:r>
          <w:r w:rsidR="0012340D">
            <w:rPr>
              <w:noProof/>
              <w:lang w:val="es-AR"/>
            </w:rPr>
            <w:t>21 de abril de 2021</w:t>
          </w:r>
          <w:r w:rsidRPr="00BD3F11">
            <w:fldChar w:fldCharType="end"/>
          </w:r>
        </w:p>
      </w:tc>
    </w:tr>
  </w:tbl>
  <w:p w14:paraId="780BA014" w14:textId="77777777" w:rsidR="0021481D" w:rsidRDefault="0021481D" w:rsidP="00F32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843"/>
    <w:multiLevelType w:val="hybridMultilevel"/>
    <w:tmpl w:val="8E026E06"/>
    <w:lvl w:ilvl="0" w:tplc="6180E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8FD"/>
    <w:multiLevelType w:val="multilevel"/>
    <w:tmpl w:val="277C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0178C"/>
    <w:multiLevelType w:val="hybridMultilevel"/>
    <w:tmpl w:val="354A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65FE"/>
    <w:multiLevelType w:val="hybridMultilevel"/>
    <w:tmpl w:val="D26A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42279"/>
    <w:multiLevelType w:val="hybridMultilevel"/>
    <w:tmpl w:val="5C82635A"/>
    <w:lvl w:ilvl="0" w:tplc="8CD2C8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40D8"/>
    <w:multiLevelType w:val="hybridMultilevel"/>
    <w:tmpl w:val="C8C025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DA7660"/>
    <w:multiLevelType w:val="multilevel"/>
    <w:tmpl w:val="232820A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" w15:restartNumberingAfterBreak="0">
    <w:nsid w:val="7B3B5416"/>
    <w:multiLevelType w:val="hybridMultilevel"/>
    <w:tmpl w:val="3F3E9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272D7"/>
    <w:multiLevelType w:val="multilevel"/>
    <w:tmpl w:val="0AB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91"/>
    <w:rsid w:val="00015B5B"/>
    <w:rsid w:val="00016A7B"/>
    <w:rsid w:val="00031507"/>
    <w:rsid w:val="000316DE"/>
    <w:rsid w:val="00031CC1"/>
    <w:rsid w:val="00046620"/>
    <w:rsid w:val="00050E2D"/>
    <w:rsid w:val="0005412E"/>
    <w:rsid w:val="00054C16"/>
    <w:rsid w:val="00062A4E"/>
    <w:rsid w:val="00070F68"/>
    <w:rsid w:val="00075A3D"/>
    <w:rsid w:val="00083C36"/>
    <w:rsid w:val="00085855"/>
    <w:rsid w:val="000A08B8"/>
    <w:rsid w:val="000A5902"/>
    <w:rsid w:val="000B600B"/>
    <w:rsid w:val="000E2D54"/>
    <w:rsid w:val="000E2EBE"/>
    <w:rsid w:val="000F0DD2"/>
    <w:rsid w:val="000F58B1"/>
    <w:rsid w:val="000F7CBB"/>
    <w:rsid w:val="001130FC"/>
    <w:rsid w:val="0012340D"/>
    <w:rsid w:val="001268C7"/>
    <w:rsid w:val="00126AD0"/>
    <w:rsid w:val="00132527"/>
    <w:rsid w:val="00143F73"/>
    <w:rsid w:val="00151FF7"/>
    <w:rsid w:val="00154FCF"/>
    <w:rsid w:val="00155579"/>
    <w:rsid w:val="001752D5"/>
    <w:rsid w:val="00176056"/>
    <w:rsid w:val="001849F0"/>
    <w:rsid w:val="001A1D91"/>
    <w:rsid w:val="001A2D63"/>
    <w:rsid w:val="001B33B3"/>
    <w:rsid w:val="001B5F37"/>
    <w:rsid w:val="001D3458"/>
    <w:rsid w:val="001E063D"/>
    <w:rsid w:val="001E2B8C"/>
    <w:rsid w:val="00207140"/>
    <w:rsid w:val="0021057B"/>
    <w:rsid w:val="0021481D"/>
    <w:rsid w:val="00223FBB"/>
    <w:rsid w:val="0022422B"/>
    <w:rsid w:val="00244788"/>
    <w:rsid w:val="002452B6"/>
    <w:rsid w:val="00245862"/>
    <w:rsid w:val="00263F27"/>
    <w:rsid w:val="00273855"/>
    <w:rsid w:val="00283543"/>
    <w:rsid w:val="00286C24"/>
    <w:rsid w:val="00295883"/>
    <w:rsid w:val="00295E19"/>
    <w:rsid w:val="002C1A16"/>
    <w:rsid w:val="002D0EA2"/>
    <w:rsid w:val="002D70C9"/>
    <w:rsid w:val="002F21B7"/>
    <w:rsid w:val="002F6DE8"/>
    <w:rsid w:val="00303637"/>
    <w:rsid w:val="003251EB"/>
    <w:rsid w:val="003313BC"/>
    <w:rsid w:val="00331AD8"/>
    <w:rsid w:val="00343318"/>
    <w:rsid w:val="003473E0"/>
    <w:rsid w:val="00347879"/>
    <w:rsid w:val="00355630"/>
    <w:rsid w:val="00355FC4"/>
    <w:rsid w:val="003663BC"/>
    <w:rsid w:val="00372133"/>
    <w:rsid w:val="00376AE8"/>
    <w:rsid w:val="003858E8"/>
    <w:rsid w:val="00395F5A"/>
    <w:rsid w:val="00396EAD"/>
    <w:rsid w:val="00397ABA"/>
    <w:rsid w:val="003A0F26"/>
    <w:rsid w:val="003A6C06"/>
    <w:rsid w:val="003B2D7F"/>
    <w:rsid w:val="003C22D2"/>
    <w:rsid w:val="003C5B42"/>
    <w:rsid w:val="003D230C"/>
    <w:rsid w:val="003D6043"/>
    <w:rsid w:val="003D7A33"/>
    <w:rsid w:val="003E0201"/>
    <w:rsid w:val="003E045B"/>
    <w:rsid w:val="003E518D"/>
    <w:rsid w:val="003F0546"/>
    <w:rsid w:val="003F0655"/>
    <w:rsid w:val="003F2D62"/>
    <w:rsid w:val="003F5830"/>
    <w:rsid w:val="00400B4F"/>
    <w:rsid w:val="004254BB"/>
    <w:rsid w:val="004302EB"/>
    <w:rsid w:val="00440696"/>
    <w:rsid w:val="00462120"/>
    <w:rsid w:val="004B216F"/>
    <w:rsid w:val="004B750B"/>
    <w:rsid w:val="004C09DA"/>
    <w:rsid w:val="004C5F15"/>
    <w:rsid w:val="004D761B"/>
    <w:rsid w:val="004E0259"/>
    <w:rsid w:val="004E3483"/>
    <w:rsid w:val="004E6928"/>
    <w:rsid w:val="004E7E81"/>
    <w:rsid w:val="00500AC5"/>
    <w:rsid w:val="0050768C"/>
    <w:rsid w:val="005147BF"/>
    <w:rsid w:val="00520855"/>
    <w:rsid w:val="00523703"/>
    <w:rsid w:val="00537BC3"/>
    <w:rsid w:val="00542CAE"/>
    <w:rsid w:val="005613F7"/>
    <w:rsid w:val="005654D6"/>
    <w:rsid w:val="00571DF1"/>
    <w:rsid w:val="0058211F"/>
    <w:rsid w:val="005821E2"/>
    <w:rsid w:val="0058433F"/>
    <w:rsid w:val="005939CF"/>
    <w:rsid w:val="005B5BBC"/>
    <w:rsid w:val="005C5FB8"/>
    <w:rsid w:val="005D2CA2"/>
    <w:rsid w:val="005D6D98"/>
    <w:rsid w:val="005E2E02"/>
    <w:rsid w:val="005F02D6"/>
    <w:rsid w:val="005F3912"/>
    <w:rsid w:val="00612E94"/>
    <w:rsid w:val="0061338A"/>
    <w:rsid w:val="006156CC"/>
    <w:rsid w:val="00620035"/>
    <w:rsid w:val="006410C0"/>
    <w:rsid w:val="00642969"/>
    <w:rsid w:val="00645A00"/>
    <w:rsid w:val="00645D2C"/>
    <w:rsid w:val="00654270"/>
    <w:rsid w:val="00664105"/>
    <w:rsid w:val="00664BD2"/>
    <w:rsid w:val="00671C67"/>
    <w:rsid w:val="006877C9"/>
    <w:rsid w:val="006A733E"/>
    <w:rsid w:val="006A77F6"/>
    <w:rsid w:val="006B5E7A"/>
    <w:rsid w:val="006B6F0E"/>
    <w:rsid w:val="006C1171"/>
    <w:rsid w:val="006C44BC"/>
    <w:rsid w:val="006D72E4"/>
    <w:rsid w:val="006E4F1D"/>
    <w:rsid w:val="006E685F"/>
    <w:rsid w:val="006E798B"/>
    <w:rsid w:val="006F1A98"/>
    <w:rsid w:val="00707D74"/>
    <w:rsid w:val="007100FB"/>
    <w:rsid w:val="007218E7"/>
    <w:rsid w:val="00723ACB"/>
    <w:rsid w:val="00731B15"/>
    <w:rsid w:val="00742967"/>
    <w:rsid w:val="00743F0A"/>
    <w:rsid w:val="007551FA"/>
    <w:rsid w:val="007556A0"/>
    <w:rsid w:val="00765342"/>
    <w:rsid w:val="007713DE"/>
    <w:rsid w:val="0078244D"/>
    <w:rsid w:val="0078416B"/>
    <w:rsid w:val="00790714"/>
    <w:rsid w:val="007A0EF1"/>
    <w:rsid w:val="007A3116"/>
    <w:rsid w:val="007A61A3"/>
    <w:rsid w:val="007A68E0"/>
    <w:rsid w:val="007B4F2D"/>
    <w:rsid w:val="007C1D62"/>
    <w:rsid w:val="007C552E"/>
    <w:rsid w:val="007D1CA8"/>
    <w:rsid w:val="007E56CC"/>
    <w:rsid w:val="007F3AD8"/>
    <w:rsid w:val="00800E1B"/>
    <w:rsid w:val="00810A9B"/>
    <w:rsid w:val="00817B6D"/>
    <w:rsid w:val="00817E8D"/>
    <w:rsid w:val="00821540"/>
    <w:rsid w:val="00837716"/>
    <w:rsid w:val="00842B6C"/>
    <w:rsid w:val="00852364"/>
    <w:rsid w:val="00854053"/>
    <w:rsid w:val="0085452B"/>
    <w:rsid w:val="008574C9"/>
    <w:rsid w:val="00862544"/>
    <w:rsid w:val="00866EFD"/>
    <w:rsid w:val="00880945"/>
    <w:rsid w:val="0088349C"/>
    <w:rsid w:val="00885FF8"/>
    <w:rsid w:val="008951A2"/>
    <w:rsid w:val="00896428"/>
    <w:rsid w:val="008A65EF"/>
    <w:rsid w:val="008C2C04"/>
    <w:rsid w:val="008C350C"/>
    <w:rsid w:val="008D3B12"/>
    <w:rsid w:val="008D3E04"/>
    <w:rsid w:val="008D4170"/>
    <w:rsid w:val="008D5642"/>
    <w:rsid w:val="008E6251"/>
    <w:rsid w:val="00911047"/>
    <w:rsid w:val="0091474D"/>
    <w:rsid w:val="009159DB"/>
    <w:rsid w:val="009210A4"/>
    <w:rsid w:val="00934EC4"/>
    <w:rsid w:val="009400F2"/>
    <w:rsid w:val="00942A00"/>
    <w:rsid w:val="00952D4F"/>
    <w:rsid w:val="0095706B"/>
    <w:rsid w:val="00960DA2"/>
    <w:rsid w:val="009656EB"/>
    <w:rsid w:val="00983D1C"/>
    <w:rsid w:val="009A48B3"/>
    <w:rsid w:val="009A62E3"/>
    <w:rsid w:val="009B0FF3"/>
    <w:rsid w:val="009B1E52"/>
    <w:rsid w:val="009B2060"/>
    <w:rsid w:val="009C1EF1"/>
    <w:rsid w:val="009C2DF7"/>
    <w:rsid w:val="009C317F"/>
    <w:rsid w:val="009E3B0E"/>
    <w:rsid w:val="009F0D78"/>
    <w:rsid w:val="009F23EC"/>
    <w:rsid w:val="00A03CFE"/>
    <w:rsid w:val="00A10643"/>
    <w:rsid w:val="00A203FA"/>
    <w:rsid w:val="00A20FCD"/>
    <w:rsid w:val="00A210F7"/>
    <w:rsid w:val="00A25506"/>
    <w:rsid w:val="00A32757"/>
    <w:rsid w:val="00A37023"/>
    <w:rsid w:val="00A432F1"/>
    <w:rsid w:val="00A45F94"/>
    <w:rsid w:val="00A46188"/>
    <w:rsid w:val="00A54E35"/>
    <w:rsid w:val="00A63668"/>
    <w:rsid w:val="00A63EBD"/>
    <w:rsid w:val="00A6516F"/>
    <w:rsid w:val="00A72815"/>
    <w:rsid w:val="00A80810"/>
    <w:rsid w:val="00A823ED"/>
    <w:rsid w:val="00A94568"/>
    <w:rsid w:val="00A965B0"/>
    <w:rsid w:val="00AA6ECD"/>
    <w:rsid w:val="00AC3267"/>
    <w:rsid w:val="00AD3185"/>
    <w:rsid w:val="00AF3DCC"/>
    <w:rsid w:val="00B052D1"/>
    <w:rsid w:val="00B1544E"/>
    <w:rsid w:val="00B2701B"/>
    <w:rsid w:val="00B30B65"/>
    <w:rsid w:val="00B542F8"/>
    <w:rsid w:val="00B56092"/>
    <w:rsid w:val="00B5758E"/>
    <w:rsid w:val="00B62A25"/>
    <w:rsid w:val="00B63F7E"/>
    <w:rsid w:val="00B6789F"/>
    <w:rsid w:val="00B75CA8"/>
    <w:rsid w:val="00B94F50"/>
    <w:rsid w:val="00BB694E"/>
    <w:rsid w:val="00BB6CD0"/>
    <w:rsid w:val="00BC0AAC"/>
    <w:rsid w:val="00BC2D30"/>
    <w:rsid w:val="00BD3F11"/>
    <w:rsid w:val="00BE03D2"/>
    <w:rsid w:val="00BE1491"/>
    <w:rsid w:val="00BE65FA"/>
    <w:rsid w:val="00C028B2"/>
    <w:rsid w:val="00C11563"/>
    <w:rsid w:val="00C119A5"/>
    <w:rsid w:val="00C16D3D"/>
    <w:rsid w:val="00C35615"/>
    <w:rsid w:val="00C55A47"/>
    <w:rsid w:val="00C62DEF"/>
    <w:rsid w:val="00C632C1"/>
    <w:rsid w:val="00C66B0C"/>
    <w:rsid w:val="00C67F8B"/>
    <w:rsid w:val="00C83396"/>
    <w:rsid w:val="00C85217"/>
    <w:rsid w:val="00C94F49"/>
    <w:rsid w:val="00C95B41"/>
    <w:rsid w:val="00C97DBB"/>
    <w:rsid w:val="00CB2FAD"/>
    <w:rsid w:val="00CB35F6"/>
    <w:rsid w:val="00CC11C8"/>
    <w:rsid w:val="00CC1FC7"/>
    <w:rsid w:val="00CC4B57"/>
    <w:rsid w:val="00CD0CDB"/>
    <w:rsid w:val="00CD6001"/>
    <w:rsid w:val="00CF22F5"/>
    <w:rsid w:val="00CF249F"/>
    <w:rsid w:val="00D02461"/>
    <w:rsid w:val="00D14483"/>
    <w:rsid w:val="00D16C4E"/>
    <w:rsid w:val="00D21D1B"/>
    <w:rsid w:val="00D261EB"/>
    <w:rsid w:val="00D35489"/>
    <w:rsid w:val="00D37474"/>
    <w:rsid w:val="00D3764B"/>
    <w:rsid w:val="00D4115D"/>
    <w:rsid w:val="00D42E50"/>
    <w:rsid w:val="00D51CF0"/>
    <w:rsid w:val="00D53F60"/>
    <w:rsid w:val="00D55C81"/>
    <w:rsid w:val="00D6384C"/>
    <w:rsid w:val="00D64AB0"/>
    <w:rsid w:val="00D677FE"/>
    <w:rsid w:val="00D731FD"/>
    <w:rsid w:val="00D7628B"/>
    <w:rsid w:val="00D84A7D"/>
    <w:rsid w:val="00D85C96"/>
    <w:rsid w:val="00DB03FF"/>
    <w:rsid w:val="00E1497B"/>
    <w:rsid w:val="00E17636"/>
    <w:rsid w:val="00E321F5"/>
    <w:rsid w:val="00E3358D"/>
    <w:rsid w:val="00E47593"/>
    <w:rsid w:val="00E67876"/>
    <w:rsid w:val="00E7763E"/>
    <w:rsid w:val="00E927CA"/>
    <w:rsid w:val="00EA29B2"/>
    <w:rsid w:val="00EB17F3"/>
    <w:rsid w:val="00EB567A"/>
    <w:rsid w:val="00EB78B0"/>
    <w:rsid w:val="00EC0B8B"/>
    <w:rsid w:val="00EC22E4"/>
    <w:rsid w:val="00EC6B2D"/>
    <w:rsid w:val="00ED3DBE"/>
    <w:rsid w:val="00ED7A23"/>
    <w:rsid w:val="00EE0CE7"/>
    <w:rsid w:val="00EF07F6"/>
    <w:rsid w:val="00F01486"/>
    <w:rsid w:val="00F05D32"/>
    <w:rsid w:val="00F169E8"/>
    <w:rsid w:val="00F20F2A"/>
    <w:rsid w:val="00F23285"/>
    <w:rsid w:val="00F32F6A"/>
    <w:rsid w:val="00F336FC"/>
    <w:rsid w:val="00F40128"/>
    <w:rsid w:val="00F45B38"/>
    <w:rsid w:val="00F47BFF"/>
    <w:rsid w:val="00F726A7"/>
    <w:rsid w:val="00F85E93"/>
    <w:rsid w:val="00FB5AA5"/>
    <w:rsid w:val="00FC3D40"/>
    <w:rsid w:val="00FC3EC2"/>
    <w:rsid w:val="00FE1D11"/>
    <w:rsid w:val="00FE3991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559CF4"/>
  <w15:docId w15:val="{2B3797E3-584B-4424-97C1-75093E22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33"/>
    <w:pPr>
      <w:spacing w:before="120" w:after="120"/>
    </w:pPr>
    <w:rPr>
      <w:rFonts w:ascii="Univers 45 Light" w:hAnsi="Univers 45 Light"/>
      <w:color w:val="404040"/>
      <w:sz w:val="19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F6A"/>
    <w:pPr>
      <w:keepNext/>
      <w:spacing w:after="240"/>
      <w:outlineLvl w:val="0"/>
    </w:pPr>
    <w:rPr>
      <w:b/>
      <w:bCs/>
      <w:color w:val="1F497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133"/>
    <w:pPr>
      <w:keepNext/>
      <w:spacing w:before="360"/>
      <w:outlineLvl w:val="1"/>
    </w:pPr>
    <w:rPr>
      <w:b/>
      <w:bCs/>
      <w:iCs/>
      <w:color w:val="1F497D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035"/>
    <w:pPr>
      <w:keepNext/>
      <w:spacing w:before="240" w:after="60"/>
      <w:outlineLvl w:val="2"/>
    </w:pPr>
    <w:rPr>
      <w:b/>
      <w:bCs/>
      <w:color w:val="8080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600B"/>
    <w:pPr>
      <w:suppressAutoHyphens/>
      <w:spacing w:before="240" w:after="240"/>
      <w:outlineLvl w:val="0"/>
    </w:pPr>
    <w:rPr>
      <w:bCs/>
      <w:caps/>
      <w:color w:val="FFFFFF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600B"/>
    <w:rPr>
      <w:rFonts w:ascii="Univers 45 Light" w:hAnsi="Univers 45 Light"/>
      <w:bCs/>
      <w:caps/>
      <w:color w:val="FFFFFF"/>
      <w:kern w:val="28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942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A00"/>
  </w:style>
  <w:style w:type="paragraph" w:styleId="Footer">
    <w:name w:val="footer"/>
    <w:basedOn w:val="Normal"/>
    <w:link w:val="FooterChar"/>
    <w:uiPriority w:val="99"/>
    <w:unhideWhenUsed/>
    <w:rsid w:val="00942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A00"/>
  </w:style>
  <w:style w:type="table" w:styleId="TableGrid">
    <w:name w:val="Table Grid"/>
    <w:basedOn w:val="TableNormal"/>
    <w:uiPriority w:val="59"/>
    <w:rsid w:val="00FE3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cha">
    <w:name w:val="fecha"/>
    <w:basedOn w:val="Header"/>
    <w:link w:val="fechaChar"/>
    <w:qFormat/>
    <w:rsid w:val="000B600B"/>
    <w:pPr>
      <w:spacing w:after="0"/>
      <w:jc w:val="right"/>
    </w:pPr>
    <w:rPr>
      <w:b/>
      <w:color w:val="FFFFFF"/>
      <w:sz w:val="18"/>
    </w:rPr>
  </w:style>
  <w:style w:type="paragraph" w:customStyle="1" w:styleId="Copyright">
    <w:name w:val="Copyright"/>
    <w:basedOn w:val="Footer"/>
    <w:link w:val="CopyrightChar"/>
    <w:qFormat/>
    <w:rsid w:val="004C5F15"/>
    <w:rPr>
      <w:color w:val="7F7F7F"/>
      <w:sz w:val="16"/>
      <w:lang w:val="es-AR"/>
    </w:rPr>
  </w:style>
  <w:style w:type="character" w:customStyle="1" w:styleId="fechaChar">
    <w:name w:val="fecha Char"/>
    <w:basedOn w:val="HeaderChar"/>
    <w:link w:val="fecha"/>
    <w:rsid w:val="000B600B"/>
    <w:rPr>
      <w:rFonts w:ascii="Univers 45 Light" w:hAnsi="Univers 45 Light"/>
      <w:b/>
      <w:color w:val="FFFFFF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53"/>
    <w:pPr>
      <w:spacing w:after="0"/>
    </w:pPr>
    <w:rPr>
      <w:rFonts w:ascii="Tahoma" w:hAnsi="Tahoma" w:cs="Tahoma"/>
      <w:sz w:val="16"/>
      <w:szCs w:val="16"/>
    </w:rPr>
  </w:style>
  <w:style w:type="character" w:customStyle="1" w:styleId="CopyrightChar">
    <w:name w:val="Copyright Char"/>
    <w:basedOn w:val="FooterChar"/>
    <w:link w:val="Copyright"/>
    <w:rsid w:val="004C5F15"/>
    <w:rPr>
      <w:rFonts w:ascii="Univers 45 Light" w:hAnsi="Univers 45 Light"/>
      <w:color w:val="7F7F7F"/>
      <w:sz w:val="16"/>
      <w:szCs w:val="22"/>
      <w:lang w:val="es-A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53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854053"/>
    <w:pPr>
      <w:autoSpaceDE w:val="0"/>
      <w:autoSpaceDN w:val="0"/>
      <w:adjustRightInd w:val="0"/>
      <w:spacing w:after="0" w:line="241" w:lineRule="atLeast"/>
    </w:pPr>
    <w:rPr>
      <w:rFonts w:ascii="Univers-Bold" w:hAnsi="Univers-Bold"/>
      <w:sz w:val="24"/>
      <w:szCs w:val="24"/>
    </w:rPr>
  </w:style>
  <w:style w:type="character" w:customStyle="1" w:styleId="A4">
    <w:name w:val="A4"/>
    <w:uiPriority w:val="99"/>
    <w:rsid w:val="00854053"/>
    <w:rPr>
      <w:rFonts w:cs="Univers-Bold"/>
      <w:color w:val="808285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7F3AD8"/>
    <w:rPr>
      <w:rFonts w:ascii="Univers 45 Light" w:hAnsi="Univers 45 Light"/>
      <w:b/>
      <w:bCs/>
      <w:color w:val="7F7F7F"/>
      <w:spacing w:val="5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2F6A"/>
    <w:rPr>
      <w:rFonts w:ascii="Univers 45 Light" w:hAnsi="Univers 45 Light"/>
      <w:b/>
      <w:bCs/>
      <w:color w:val="1F497D"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5B0"/>
    <w:pPr>
      <w:spacing w:after="240"/>
      <w:outlineLvl w:val="1"/>
    </w:pPr>
    <w:rPr>
      <w:color w:val="365F9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5B0"/>
    <w:rPr>
      <w:rFonts w:ascii="Univers 45 Light" w:hAnsi="Univers 45 Light"/>
      <w:color w:val="365F91"/>
      <w:sz w:val="28"/>
      <w:szCs w:val="24"/>
    </w:rPr>
  </w:style>
  <w:style w:type="paragraph" w:customStyle="1" w:styleId="contactos">
    <w:name w:val="contactos"/>
    <w:basedOn w:val="Normal"/>
    <w:link w:val="contactosChar"/>
    <w:qFormat/>
    <w:rsid w:val="002452B6"/>
    <w:pPr>
      <w:spacing w:before="0" w:after="0"/>
    </w:pPr>
    <w:rPr>
      <w:sz w:val="16"/>
      <w:lang w:val="es-AR"/>
    </w:rPr>
  </w:style>
  <w:style w:type="character" w:customStyle="1" w:styleId="Heading2Char">
    <w:name w:val="Heading 2 Char"/>
    <w:basedOn w:val="DefaultParagraphFont"/>
    <w:link w:val="Heading2"/>
    <w:uiPriority w:val="9"/>
    <w:rsid w:val="00372133"/>
    <w:rPr>
      <w:rFonts w:ascii="Univers 45 Light" w:hAnsi="Univers 45 Light"/>
      <w:b/>
      <w:bCs/>
      <w:iCs/>
      <w:color w:val="1F497D"/>
      <w:sz w:val="24"/>
      <w:szCs w:val="28"/>
    </w:rPr>
  </w:style>
  <w:style w:type="character" w:customStyle="1" w:styleId="contactosChar">
    <w:name w:val="contactos Char"/>
    <w:basedOn w:val="DefaultParagraphFont"/>
    <w:link w:val="contactos"/>
    <w:rsid w:val="002452B6"/>
    <w:rPr>
      <w:rFonts w:ascii="Univers 45 Light" w:hAnsi="Univers 45 Light"/>
      <w:color w:val="404040"/>
      <w:sz w:val="16"/>
      <w:szCs w:val="22"/>
      <w:lang w:val="es-AR"/>
    </w:rPr>
  </w:style>
  <w:style w:type="character" w:customStyle="1" w:styleId="Heading3Char">
    <w:name w:val="Heading 3 Char"/>
    <w:basedOn w:val="DefaultParagraphFont"/>
    <w:link w:val="Heading3"/>
    <w:uiPriority w:val="9"/>
    <w:rsid w:val="00620035"/>
    <w:rPr>
      <w:rFonts w:ascii="Univers 45 Light" w:eastAsia="Times New Roman" w:hAnsi="Univers 45 Light" w:cs="Times New Roman"/>
      <w:b/>
      <w:bCs/>
      <w:color w:val="808080"/>
      <w:sz w:val="24"/>
      <w:szCs w:val="26"/>
    </w:rPr>
  </w:style>
  <w:style w:type="character" w:styleId="Emphasis">
    <w:name w:val="Emphasis"/>
    <w:basedOn w:val="DefaultParagraphFont"/>
    <w:uiPriority w:val="20"/>
    <w:qFormat/>
    <w:rsid w:val="00620035"/>
    <w:rPr>
      <w:rFonts w:ascii="Univers 45 Light" w:hAnsi="Univers 45 Light"/>
      <w:i/>
      <w:iCs/>
    </w:rPr>
  </w:style>
  <w:style w:type="character" w:styleId="IntenseEmphasis">
    <w:name w:val="Intense Emphasis"/>
    <w:basedOn w:val="DefaultParagraphFont"/>
    <w:uiPriority w:val="21"/>
    <w:qFormat/>
    <w:rsid w:val="00620035"/>
    <w:rPr>
      <w:rFonts w:ascii="Univers 45 Light" w:hAnsi="Univers 45 Light"/>
      <w:bCs/>
      <w:i/>
      <w:iCs/>
      <w:color w:val="1F497D"/>
    </w:rPr>
  </w:style>
  <w:style w:type="character" w:styleId="SubtleEmphasis">
    <w:name w:val="Subtle Emphasis"/>
    <w:basedOn w:val="DefaultParagraphFont"/>
    <w:uiPriority w:val="19"/>
    <w:qFormat/>
    <w:rsid w:val="00620035"/>
    <w:rPr>
      <w:rFonts w:ascii="Univers 45 Light" w:hAnsi="Univers 45 Light"/>
      <w:i/>
      <w:iCs/>
      <w:color w:val="365F91"/>
    </w:rPr>
  </w:style>
  <w:style w:type="paragraph" w:styleId="ListParagraph">
    <w:name w:val="List Paragraph"/>
    <w:basedOn w:val="Normal"/>
    <w:uiPriority w:val="34"/>
    <w:qFormat/>
    <w:rsid w:val="001849F0"/>
    <w:pPr>
      <w:ind w:left="720"/>
    </w:pPr>
  </w:style>
  <w:style w:type="paragraph" w:customStyle="1" w:styleId="acerca-kpmg">
    <w:name w:val="acerca-kpmg"/>
    <w:link w:val="acerca-kpmgChar"/>
    <w:qFormat/>
    <w:rsid w:val="004C5F15"/>
    <w:rPr>
      <w:rFonts w:ascii="Univers 45 Light" w:hAnsi="Univers 45 Light"/>
      <w:color w:val="404040"/>
      <w:sz w:val="18"/>
      <w:szCs w:val="22"/>
      <w:lang w:val="es-AR"/>
    </w:rPr>
  </w:style>
  <w:style w:type="character" w:customStyle="1" w:styleId="acerca-kpmgChar">
    <w:name w:val="acerca-kpmg Char"/>
    <w:basedOn w:val="CopyrightChar"/>
    <w:link w:val="acerca-kpmg"/>
    <w:rsid w:val="004C5F15"/>
    <w:rPr>
      <w:rFonts w:ascii="Univers 45 Light" w:hAnsi="Univers 45 Light"/>
      <w:color w:val="404040"/>
      <w:sz w:val="18"/>
      <w:szCs w:val="22"/>
      <w:lang w:val="es-AR" w:eastAsia="en-US" w:bidi="ar-SA"/>
    </w:rPr>
  </w:style>
  <w:style w:type="paragraph" w:customStyle="1" w:styleId="Volanta">
    <w:name w:val="Volanta"/>
    <w:link w:val="VolantaChar"/>
    <w:qFormat/>
    <w:rsid w:val="008D5642"/>
    <w:rPr>
      <w:rFonts w:ascii="Univers 45 Light" w:hAnsi="Univers 45 Light"/>
      <w:b/>
      <w:bCs/>
      <w:color w:val="7F7F7F"/>
      <w:kern w:val="32"/>
      <w:sz w:val="24"/>
      <w:szCs w:val="32"/>
    </w:rPr>
  </w:style>
  <w:style w:type="paragraph" w:styleId="Quote">
    <w:name w:val="Quote"/>
    <w:next w:val="Normal"/>
    <w:link w:val="QuoteChar"/>
    <w:uiPriority w:val="29"/>
    <w:qFormat/>
    <w:rsid w:val="00046620"/>
    <w:pPr>
      <w:framePr w:hSpace="144" w:vSpace="144" w:wrap="around" w:vAnchor="text" w:hAnchor="text" w:y="1"/>
    </w:pPr>
    <w:rPr>
      <w:rFonts w:ascii="Univers 45 Light" w:hAnsi="Univers 45 Light"/>
      <w:b/>
      <w:i/>
      <w:iCs/>
      <w:color w:val="4F81BD"/>
      <w:sz w:val="19"/>
      <w:szCs w:val="22"/>
    </w:rPr>
  </w:style>
  <w:style w:type="character" w:customStyle="1" w:styleId="VolantaChar">
    <w:name w:val="Volanta Char"/>
    <w:basedOn w:val="Heading1Char"/>
    <w:link w:val="Volanta"/>
    <w:rsid w:val="008D5642"/>
    <w:rPr>
      <w:rFonts w:ascii="Univers 45 Light" w:hAnsi="Univers 45 Light"/>
      <w:b/>
      <w:bCs/>
      <w:color w:val="7F7F7F"/>
      <w:kern w:val="32"/>
      <w:sz w:val="24"/>
      <w:szCs w:val="32"/>
      <w:lang w:val="en-US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046620"/>
    <w:rPr>
      <w:rFonts w:ascii="Univers 45 Light" w:hAnsi="Univers 45 Light"/>
      <w:b/>
      <w:i/>
      <w:iCs/>
      <w:color w:val="4F81BD"/>
      <w:sz w:val="19"/>
      <w:szCs w:val="22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11"/>
    <w:rPr>
      <w:rFonts w:ascii="Univers 45 Light" w:hAnsi="Univers 45 Light"/>
      <w:color w:val="404040"/>
    </w:rPr>
  </w:style>
  <w:style w:type="character" w:styleId="CommentReference">
    <w:name w:val="annotation reference"/>
    <w:basedOn w:val="DefaultParagraphFont"/>
    <w:semiHidden/>
    <w:rsid w:val="00BD3F11"/>
    <w:rPr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63668"/>
    <w:pPr>
      <w:spacing w:before="0" w:after="0"/>
    </w:pPr>
    <w:rPr>
      <w:rFonts w:ascii="Calibri" w:eastAsia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3668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A636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540"/>
    <w:rPr>
      <w:color w:val="0000FF"/>
      <w:u w:val="single"/>
    </w:rPr>
  </w:style>
  <w:style w:type="paragraph" w:customStyle="1" w:styleId="headadjust">
    <w:name w:val="headadjust"/>
    <w:basedOn w:val="Normal"/>
    <w:rsid w:val="005E2E0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s-ES" w:eastAsia="es-ES"/>
    </w:rPr>
  </w:style>
  <w:style w:type="character" w:customStyle="1" w:styleId="headtext">
    <w:name w:val="headtext"/>
    <w:basedOn w:val="DefaultParagraphFont"/>
    <w:rsid w:val="005E2E02"/>
  </w:style>
  <w:style w:type="paragraph" w:styleId="NormalWeb">
    <w:name w:val="Normal (Web)"/>
    <w:basedOn w:val="Normal"/>
    <w:uiPriority w:val="99"/>
    <w:unhideWhenUsed/>
    <w:rsid w:val="00645D2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3DBE"/>
    <w:rPr>
      <w:color w:val="800080" w:themeColor="followedHyperlink"/>
      <w:u w:val="single"/>
    </w:rPr>
  </w:style>
  <w:style w:type="table" w:styleId="ListTable5Dark-Accent5">
    <w:name w:val="List Table 5 Dark Accent 5"/>
    <w:basedOn w:val="TableNormal"/>
    <w:uiPriority w:val="50"/>
    <w:rsid w:val="00331AD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CountryTitleBackCover">
    <w:name w:val="Country/Title (Back Cover)"/>
    <w:basedOn w:val="Normal"/>
    <w:uiPriority w:val="99"/>
    <w:rsid w:val="003F0546"/>
    <w:pPr>
      <w:suppressAutoHyphens/>
      <w:autoSpaceDE w:val="0"/>
      <w:autoSpaceDN w:val="0"/>
      <w:adjustRightInd w:val="0"/>
      <w:spacing w:before="0" w:after="0" w:line="240" w:lineRule="atLeast"/>
      <w:textAlignment w:val="center"/>
    </w:pPr>
    <w:rPr>
      <w:rFonts w:cs="Univers 45 Light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6C24"/>
    <w:pPr>
      <w:spacing w:before="0" w:after="0"/>
    </w:pPr>
    <w:rPr>
      <w:rFonts w:ascii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C24"/>
    <w:rPr>
      <w:sz w:val="22"/>
      <w:szCs w:val="21"/>
    </w:rPr>
  </w:style>
  <w:style w:type="paragraph" w:customStyle="1" w:styleId="Default">
    <w:name w:val="Default"/>
    <w:rsid w:val="00E321F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2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910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26" Type="http://schemas.openxmlformats.org/officeDocument/2006/relationships/hyperlink" Target="https://www.facebook.com/pages/KPMG-AR-Talento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twitter.com/KPMGArgentina" TargetMode="External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ome.kpmg/ar/es/home/media/press-releases.html" TargetMode="External"/><Relationship Id="rId20" Type="http://schemas.openxmlformats.org/officeDocument/2006/relationships/hyperlink" Target="http://www.kpmg.com.ar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youtube.com/kpmgargentina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tellarey@kpmg.com.ar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kpmgmail.com/collect/click.aspx?u=/G1GTPto3VWHuy7wMzDtDbYc/NLxs+tnCw9ICurexhk=&amp;rh=ff0014d8f77affd523c2dad6fa439070ac05a4f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kpmgmail.com/collect/click.aspx?u=/G1GTPto3VWHuy7wMzDtDaEKIv6SjnE6KOw7tNdIQNTbUHYuvy2Vxnhnnbes8e7CM1iFUUnJL8c=&amp;rh=ff0014d8f77affd523c2dad6fa439070ac05a4fc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negretewilliams@kpmg.com.ar" TargetMode="External"/><Relationship Id="rId22" Type="http://schemas.openxmlformats.org/officeDocument/2006/relationships/hyperlink" Target="https://www.linkedin.com/company/kpmg_argentina" TargetMode="External"/><Relationship Id="rId27" Type="http://schemas.openxmlformats.org/officeDocument/2006/relationships/image" Target="media/image7.png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lazzi\AppData\Local\Microsoft\Windows\Temporary%20Internet%20Files\Content.Outlook\PN47G8E3\Press%20Releas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54CECBCC8BF4D90C6D52F4754C8BF" ma:contentTypeVersion="13" ma:contentTypeDescription="Create a new document." ma:contentTypeScope="" ma:versionID="1867d432134ac001e335e4fb6ea93359">
  <xsd:schema xmlns:xsd="http://www.w3.org/2001/XMLSchema" xmlns:xs="http://www.w3.org/2001/XMLSchema" xmlns:p="http://schemas.microsoft.com/office/2006/metadata/properties" xmlns:ns3="1246c579-7b11-46c5-8e64-70f4a395f505" xmlns:ns4="5bb014df-b26e-4791-88b2-8bb8c649518f" targetNamespace="http://schemas.microsoft.com/office/2006/metadata/properties" ma:root="true" ma:fieldsID="14e0ff15487748c6e84bc709e88d38eb" ns3:_="" ns4:_="">
    <xsd:import namespace="1246c579-7b11-46c5-8e64-70f4a395f505"/>
    <xsd:import namespace="5bb014df-b26e-4791-88b2-8bb8c6495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6c579-7b11-46c5-8e64-70f4a395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014df-b26e-4791-88b2-8bb8c6495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C07EB-5BC0-4A9D-B52F-4283CB665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8A122-05B1-4FA4-9989-8CBD6CF6F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EA1141-8BAD-4B3A-9332-3D678A582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6c579-7b11-46c5-8e64-70f4a395f505"/>
    <ds:schemaRef ds:uri="5bb014df-b26e-4791-88b2-8bb8c6495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7910D-83EF-42F2-A641-FC0A2731F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(2)</Template>
  <TotalTime>2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6078</CharactersWithSpaces>
  <SharedDoc>false</SharedDoc>
  <HLinks>
    <vt:vector size="12" baseType="variant"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http://www.twitter.com/kpmgargentina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http://www.kpmg.com/AR/es/foro-energia/enfoques/encuestas-vision-futuro/Paginas/energia-renovable.aspx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msolazzi</dc:creator>
  <cp:lastModifiedBy>Negrete Williams, Claudio R</cp:lastModifiedBy>
  <cp:revision>3</cp:revision>
  <cp:lastPrinted>2012-02-24T14:42:00Z</cp:lastPrinted>
  <dcterms:created xsi:type="dcterms:W3CDTF">2021-04-21T14:41:00Z</dcterms:created>
  <dcterms:modified xsi:type="dcterms:W3CDTF">2021-04-21T14:42:00Z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0x010100AEC54CECBCC8BF4D90C6D52F4754C8BF</vt:lpwstr>
  </property>
</Properties>
</file>