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E1DA" w14:textId="2113EE4D" w:rsidR="00664BD2" w:rsidRPr="00CA2549" w:rsidRDefault="00CA2549" w:rsidP="006D72E4">
      <w:pPr>
        <w:pStyle w:val="Volanta"/>
        <w:tabs>
          <w:tab w:val="left" w:pos="8025"/>
        </w:tabs>
        <w:rPr>
          <w:rFonts w:ascii="Arial" w:hAnsi="Arial" w:cs="Arial"/>
          <w:bCs w:val="0"/>
          <w:color w:val="7F7F7F" w:themeColor="text1" w:themeTint="80"/>
          <w:kern w:val="0"/>
          <w:sz w:val="26"/>
          <w:szCs w:val="26"/>
          <w:lang w:val="es-AR"/>
        </w:rPr>
      </w:pPr>
      <w:r w:rsidRPr="00CA2549">
        <w:rPr>
          <w:rFonts w:ascii="Arial" w:hAnsi="Arial" w:cs="Arial"/>
          <w:bCs w:val="0"/>
          <w:color w:val="7F7F7F" w:themeColor="text1" w:themeTint="80"/>
          <w:kern w:val="0"/>
          <w:sz w:val="26"/>
          <w:szCs w:val="26"/>
          <w:lang w:val="es-AR"/>
        </w:rPr>
        <w:t>Perspectivas</w:t>
      </w:r>
    </w:p>
    <w:p w14:paraId="7B5CA129" w14:textId="77777777" w:rsidR="00115B25" w:rsidRDefault="00115B25" w:rsidP="004C0C6A">
      <w:pPr>
        <w:spacing w:before="0" w:after="0"/>
        <w:jc w:val="center"/>
        <w:rPr>
          <w:rFonts w:ascii="Arial" w:hAnsi="Arial" w:cs="Arial"/>
          <w:b/>
          <w:bCs/>
          <w:color w:val="31849B" w:themeColor="accent5" w:themeShade="BF"/>
          <w:sz w:val="36"/>
          <w:szCs w:val="36"/>
          <w:lang w:val="es-AR"/>
        </w:rPr>
      </w:pPr>
    </w:p>
    <w:p w14:paraId="5D297940" w14:textId="7E50C32D" w:rsidR="004C0C6A" w:rsidRPr="00CA2549" w:rsidRDefault="004C0C6A" w:rsidP="004C0C6A">
      <w:pPr>
        <w:spacing w:before="0" w:after="0"/>
        <w:jc w:val="center"/>
        <w:rPr>
          <w:rFonts w:ascii="Arial" w:hAnsi="Arial" w:cs="Arial"/>
          <w:b/>
          <w:bCs/>
          <w:color w:val="31849B" w:themeColor="accent5" w:themeShade="BF"/>
          <w:sz w:val="40"/>
          <w:szCs w:val="40"/>
          <w:lang w:val="es-AR"/>
        </w:rPr>
      </w:pPr>
      <w:r w:rsidRPr="00CA2549">
        <w:rPr>
          <w:rFonts w:ascii="Arial" w:hAnsi="Arial" w:cs="Arial"/>
          <w:b/>
          <w:bCs/>
          <w:color w:val="31849B" w:themeColor="accent5" w:themeShade="BF"/>
          <w:sz w:val="40"/>
          <w:szCs w:val="40"/>
          <w:lang w:val="es-AR"/>
        </w:rPr>
        <w:t xml:space="preserve">Cinco tendencias que van a configurar </w:t>
      </w:r>
    </w:p>
    <w:p w14:paraId="609A59C5" w14:textId="122882F8" w:rsidR="004C0C6A" w:rsidRPr="00CA2549" w:rsidRDefault="004C0C6A" w:rsidP="004C0C6A">
      <w:pPr>
        <w:spacing w:before="0" w:after="0"/>
        <w:jc w:val="center"/>
        <w:rPr>
          <w:rFonts w:ascii="Arial" w:hAnsi="Arial" w:cs="Arial"/>
          <w:b/>
          <w:bCs/>
          <w:color w:val="31849B" w:themeColor="accent5" w:themeShade="BF"/>
          <w:sz w:val="40"/>
          <w:szCs w:val="40"/>
          <w:lang w:val="es-AR"/>
        </w:rPr>
      </w:pPr>
      <w:r w:rsidRPr="00CA2549">
        <w:rPr>
          <w:rFonts w:ascii="Arial" w:hAnsi="Arial" w:cs="Arial"/>
          <w:b/>
          <w:bCs/>
          <w:color w:val="31849B" w:themeColor="accent5" w:themeShade="BF"/>
          <w:sz w:val="40"/>
          <w:szCs w:val="40"/>
          <w:lang w:val="es-AR"/>
        </w:rPr>
        <w:t>la industria química en 2021</w:t>
      </w:r>
    </w:p>
    <w:p w14:paraId="37350CA1" w14:textId="2B9FA000" w:rsidR="004C0C6A" w:rsidRDefault="004C0C6A" w:rsidP="004C0C6A">
      <w:pPr>
        <w:spacing w:before="0" w:after="0"/>
        <w:jc w:val="center"/>
        <w:rPr>
          <w:rFonts w:ascii="Arial" w:hAnsi="Arial" w:cs="Arial"/>
          <w:b/>
          <w:bCs/>
          <w:color w:val="31849B" w:themeColor="accent5" w:themeShade="BF"/>
          <w:sz w:val="36"/>
          <w:szCs w:val="36"/>
          <w:lang w:val="es-AR"/>
        </w:rPr>
      </w:pPr>
    </w:p>
    <w:p w14:paraId="25C9EE74" w14:textId="5352FB63" w:rsidR="00115B25" w:rsidRPr="00CA2549" w:rsidRDefault="00CA2549" w:rsidP="00CA2549">
      <w:pPr>
        <w:spacing w:before="0" w:after="0"/>
        <w:jc w:val="both"/>
        <w:rPr>
          <w:rFonts w:ascii="Arial" w:hAnsi="Arial" w:cs="Arial"/>
          <w:color w:val="31849B" w:themeColor="accent5" w:themeShade="BF"/>
          <w:sz w:val="28"/>
          <w:szCs w:val="28"/>
          <w:lang w:val="es-AR"/>
        </w:rPr>
      </w:pPr>
      <w:r w:rsidRPr="00CA2549">
        <w:rPr>
          <w:rFonts w:ascii="Arial" w:hAnsi="Arial" w:cs="Arial"/>
          <w:color w:val="31849B" w:themeColor="accent5" w:themeShade="BF"/>
          <w:sz w:val="28"/>
          <w:szCs w:val="28"/>
          <w:lang w:val="es-AR"/>
        </w:rPr>
        <w:t>Digitalización, factores ambientales y sociales, diversidad, fusiones y adquisiciones</w:t>
      </w:r>
      <w:r>
        <w:rPr>
          <w:rFonts w:ascii="Arial" w:hAnsi="Arial" w:cs="Arial"/>
          <w:color w:val="31849B" w:themeColor="accent5" w:themeShade="BF"/>
          <w:sz w:val="28"/>
          <w:szCs w:val="28"/>
          <w:lang w:val="es-AR"/>
        </w:rPr>
        <w:t>,</w:t>
      </w:r>
      <w:r w:rsidRPr="00CA2549">
        <w:rPr>
          <w:rFonts w:ascii="Arial" w:hAnsi="Arial" w:cs="Arial"/>
          <w:color w:val="31849B" w:themeColor="accent5" w:themeShade="BF"/>
          <w:sz w:val="28"/>
          <w:szCs w:val="28"/>
          <w:lang w:val="es-AR"/>
        </w:rPr>
        <w:t xml:space="preserve"> y diversificación son los temas que se desarrollan </w:t>
      </w:r>
      <w:r w:rsidR="00DA5B81">
        <w:rPr>
          <w:rFonts w:ascii="Arial" w:hAnsi="Arial" w:cs="Arial"/>
          <w:color w:val="31849B" w:themeColor="accent5" w:themeShade="BF"/>
          <w:sz w:val="28"/>
          <w:szCs w:val="28"/>
          <w:lang w:val="es-AR"/>
        </w:rPr>
        <w:t xml:space="preserve">en </w:t>
      </w:r>
      <w:r w:rsidRPr="00CA2549">
        <w:rPr>
          <w:rFonts w:ascii="Arial" w:hAnsi="Arial" w:cs="Arial"/>
          <w:color w:val="31849B" w:themeColor="accent5" w:themeShade="BF"/>
          <w:sz w:val="28"/>
          <w:szCs w:val="28"/>
          <w:lang w:val="es-AR"/>
        </w:rPr>
        <w:t xml:space="preserve">la reciente publicación de KPMG. </w:t>
      </w:r>
    </w:p>
    <w:p w14:paraId="14546921" w14:textId="77777777" w:rsidR="00CA2549" w:rsidRPr="00CA2549" w:rsidRDefault="00CA2549" w:rsidP="004C0C6A">
      <w:pPr>
        <w:spacing w:before="0" w:after="0"/>
        <w:jc w:val="center"/>
        <w:rPr>
          <w:rFonts w:ascii="Arial" w:hAnsi="Arial" w:cs="Arial"/>
          <w:b/>
          <w:bCs/>
          <w:color w:val="31849B" w:themeColor="accent5" w:themeShade="BF"/>
          <w:sz w:val="26"/>
          <w:szCs w:val="26"/>
          <w:lang w:val="es-AR"/>
        </w:rPr>
      </w:pPr>
    </w:p>
    <w:p w14:paraId="1C72D288" w14:textId="15833C6D" w:rsidR="004C0C6A" w:rsidRPr="004C0C6A" w:rsidRDefault="004C0C6A" w:rsidP="00CA2549">
      <w:pPr>
        <w:jc w:val="both"/>
        <w:rPr>
          <w:rFonts w:ascii="Arial" w:hAnsi="Arial" w:cs="Arial"/>
          <w:color w:val="auto"/>
          <w:sz w:val="22"/>
          <w:lang w:val="es-AR"/>
        </w:rPr>
      </w:pPr>
      <w:r w:rsidRPr="004C0C6A">
        <w:rPr>
          <w:rFonts w:ascii="Arial" w:hAnsi="Arial" w:cs="Arial"/>
          <w:b/>
          <w:bCs/>
          <w:color w:val="auto"/>
          <w:sz w:val="22"/>
          <w:lang w:val="es-AR"/>
        </w:rPr>
        <w:t xml:space="preserve">Buenos Aires, </w:t>
      </w:r>
      <w:r w:rsidR="00CA2549">
        <w:rPr>
          <w:rFonts w:ascii="Arial" w:hAnsi="Arial" w:cs="Arial"/>
          <w:b/>
          <w:bCs/>
          <w:color w:val="auto"/>
          <w:sz w:val="22"/>
          <w:lang w:val="es-AR"/>
        </w:rPr>
        <w:t xml:space="preserve">16 </w:t>
      </w:r>
      <w:r w:rsidRPr="004C0C6A">
        <w:rPr>
          <w:rFonts w:ascii="Arial" w:hAnsi="Arial" w:cs="Arial"/>
          <w:b/>
          <w:bCs/>
          <w:color w:val="auto"/>
          <w:sz w:val="22"/>
          <w:lang w:val="es-AR"/>
        </w:rPr>
        <w:t>abril de 2021 / KPMG</w:t>
      </w:r>
      <w:r>
        <w:rPr>
          <w:rFonts w:ascii="Arial" w:hAnsi="Arial" w:cs="Arial"/>
          <w:color w:val="auto"/>
          <w:sz w:val="22"/>
          <w:lang w:val="es-AR"/>
        </w:rPr>
        <w:t xml:space="preserve">. </w:t>
      </w:r>
      <w:r w:rsidRPr="004C0C6A">
        <w:rPr>
          <w:rFonts w:ascii="Arial" w:hAnsi="Arial" w:cs="Arial"/>
          <w:color w:val="auto"/>
          <w:sz w:val="22"/>
          <w:lang w:val="es-AR"/>
        </w:rPr>
        <w:t>Si el desempeño de la industria química durante el año 2020 se resumiera en una sola palabra, esa palabra sería "disrupción". Algunas empresas surgieron, por ejemplo, fabricantes de desinfectantes y reactivos de diagnóstico, mientras que otras tuvieron que esforzarse, como las expuestas a los mercados automotriz, de refinación y construcción, por nombrar solo algunos casos. Sin embargo, ya sea preparándose para cubrir grandes demandas repentinas o luchando para sobrevivir, en ambos casos los resultados causaron grandes trastornos.</w:t>
      </w:r>
    </w:p>
    <w:p w14:paraId="7C036E77" w14:textId="36F5DD1C" w:rsidR="004C0C6A" w:rsidRPr="004C0C6A" w:rsidRDefault="004C0C6A" w:rsidP="00CA2549">
      <w:pPr>
        <w:jc w:val="both"/>
        <w:rPr>
          <w:rFonts w:ascii="Arial" w:hAnsi="Arial" w:cs="Arial"/>
          <w:color w:val="auto"/>
          <w:sz w:val="22"/>
          <w:lang w:val="es-AR"/>
        </w:rPr>
      </w:pPr>
      <w:r w:rsidRPr="004C0C6A">
        <w:rPr>
          <w:rFonts w:ascii="Arial" w:hAnsi="Arial" w:cs="Arial"/>
          <w:color w:val="auto"/>
          <w:sz w:val="22"/>
          <w:lang w:val="es-AR"/>
        </w:rPr>
        <w:t xml:space="preserve">Hubo demasiados cambios en apenas un año. Las estrategias del pasado ya no eran relevantes. La pandemia expuso los puntos débiles de la industria y aceleró de forma significativa los programas de transformación. A medida que las empresas navegaban por territorios inexplorados, fue la transformación digital la que brindó una oportunidad. La aplicación de tecnologías digitales continuará su rápido crecimiento en la industria química, como una de las cinco tendencias clave que configurarán el año 2021. En la reciente publicación </w:t>
      </w:r>
      <w:r w:rsidRPr="00CA2549">
        <w:rPr>
          <w:rFonts w:ascii="Arial" w:hAnsi="Arial" w:cs="Arial"/>
          <w:b/>
          <w:bCs/>
          <w:color w:val="auto"/>
          <w:sz w:val="22"/>
          <w:lang w:val="es-AR"/>
        </w:rPr>
        <w:t>de KPMG</w:t>
      </w:r>
      <w:r w:rsidRPr="004C0C6A">
        <w:rPr>
          <w:rFonts w:ascii="Arial" w:hAnsi="Arial" w:cs="Arial"/>
          <w:color w:val="auto"/>
          <w:sz w:val="22"/>
          <w:lang w:val="es-AR"/>
        </w:rPr>
        <w:t xml:space="preserve">, </w:t>
      </w:r>
      <w:r w:rsidRPr="004C0C6A">
        <w:rPr>
          <w:rFonts w:ascii="Arial" w:hAnsi="Arial" w:cs="Arial"/>
          <w:b/>
          <w:bCs/>
          <w:color w:val="auto"/>
          <w:sz w:val="22"/>
          <w:lang w:val="es-AR"/>
        </w:rPr>
        <w:t>“Reaction: Cinco tendencias que darán forma a la industria química en 2021”</w:t>
      </w:r>
      <w:r w:rsidRPr="004C0C6A">
        <w:rPr>
          <w:rFonts w:ascii="Arial" w:hAnsi="Arial" w:cs="Arial"/>
          <w:color w:val="auto"/>
          <w:sz w:val="22"/>
          <w:lang w:val="es-AR"/>
        </w:rPr>
        <w:t xml:space="preserve">, se exploran las tendencias que configurarán el desarrollo de esta importante industria durante 2021: </w:t>
      </w:r>
    </w:p>
    <w:p w14:paraId="2AB1BAE0" w14:textId="77777777" w:rsidR="004C0C6A" w:rsidRPr="004C0C6A" w:rsidRDefault="004C0C6A" w:rsidP="00CA2549">
      <w:pPr>
        <w:jc w:val="both"/>
        <w:rPr>
          <w:rFonts w:ascii="Arial" w:hAnsi="Arial" w:cs="Arial"/>
          <w:color w:val="auto"/>
          <w:sz w:val="22"/>
          <w:lang w:val="es-AR"/>
        </w:rPr>
      </w:pPr>
      <w:r w:rsidRPr="004C0C6A">
        <w:rPr>
          <w:rFonts w:ascii="Arial" w:hAnsi="Arial" w:cs="Arial"/>
          <w:b/>
          <w:bCs/>
          <w:color w:val="auto"/>
          <w:sz w:val="22"/>
          <w:lang w:val="es-AR"/>
        </w:rPr>
        <w:t>1. Digitalización</w:t>
      </w:r>
      <w:r w:rsidRPr="004C0C6A">
        <w:rPr>
          <w:rFonts w:ascii="Arial" w:hAnsi="Arial" w:cs="Arial"/>
          <w:color w:val="auto"/>
          <w:sz w:val="22"/>
          <w:lang w:val="es-AR"/>
        </w:rPr>
        <w:t>: La pandemia hizo que todos tomaran conciencia sobre la importancia fundamental de la tecnología. La escala y la velocidad sin precedentes de la crisis provocaron un aumento colosal de inversiones en tecnología. En raras ocasiones se ha visto un incremento tan significativo de la transformación digital en los datos del producto interno bruto, pero el último año fue la excepción.</w:t>
      </w:r>
    </w:p>
    <w:p w14:paraId="7F5AEFB9" w14:textId="0C574EB9" w:rsidR="004C0C6A" w:rsidRPr="004C0C6A" w:rsidRDefault="004C0C6A" w:rsidP="00CA2549">
      <w:pPr>
        <w:jc w:val="both"/>
        <w:rPr>
          <w:rFonts w:ascii="Arial" w:hAnsi="Arial" w:cs="Arial"/>
          <w:color w:val="auto"/>
          <w:sz w:val="22"/>
          <w:lang w:val="es-AR"/>
        </w:rPr>
      </w:pPr>
      <w:r w:rsidRPr="004C0C6A">
        <w:rPr>
          <w:rFonts w:ascii="Arial" w:hAnsi="Arial" w:cs="Arial"/>
          <w:b/>
          <w:bCs/>
          <w:color w:val="auto"/>
          <w:sz w:val="22"/>
          <w:lang w:val="es-AR"/>
        </w:rPr>
        <w:t>2. Metas ESG</w:t>
      </w:r>
      <w:r w:rsidRPr="004C0C6A">
        <w:rPr>
          <w:rFonts w:ascii="Arial" w:hAnsi="Arial" w:cs="Arial"/>
          <w:color w:val="auto"/>
          <w:sz w:val="22"/>
          <w:lang w:val="es-AR"/>
        </w:rPr>
        <w:t xml:space="preserve">: La industria química ha sido un líder en los factores ambientales, sociales y de gobernanza (ESG), pero hay mucho más por hacer. Es hora de redoblar las estrategias ESG. En ese sentido, </w:t>
      </w:r>
      <w:r w:rsidRPr="00CA2549">
        <w:rPr>
          <w:rFonts w:ascii="Arial" w:hAnsi="Arial" w:cs="Arial"/>
          <w:b/>
          <w:bCs/>
          <w:color w:val="auto"/>
          <w:sz w:val="22"/>
          <w:lang w:val="es-AR"/>
        </w:rPr>
        <w:t>Manuel Fernandes, Socio Líder de Energía y Recursos Naturales de KPMG en América del Sur</w:t>
      </w:r>
      <w:r w:rsidRPr="004C0C6A">
        <w:rPr>
          <w:rFonts w:ascii="Arial" w:hAnsi="Arial" w:cs="Arial"/>
          <w:color w:val="auto"/>
          <w:sz w:val="22"/>
          <w:lang w:val="es-AR"/>
        </w:rPr>
        <w:t>, comentó</w:t>
      </w:r>
      <w:r w:rsidR="00CA2549">
        <w:rPr>
          <w:rFonts w:ascii="Arial" w:hAnsi="Arial" w:cs="Arial"/>
          <w:color w:val="auto"/>
          <w:sz w:val="22"/>
          <w:lang w:val="es-AR"/>
        </w:rPr>
        <w:t xml:space="preserve">: </w:t>
      </w:r>
      <w:r w:rsidRPr="004C0C6A">
        <w:rPr>
          <w:rFonts w:ascii="Arial" w:hAnsi="Arial" w:cs="Arial"/>
          <w:color w:val="auto"/>
          <w:sz w:val="22"/>
          <w:lang w:val="es-AR"/>
        </w:rPr>
        <w:t>“</w:t>
      </w:r>
      <w:r w:rsidRPr="004C0C6A">
        <w:rPr>
          <w:rFonts w:ascii="Arial" w:hAnsi="Arial" w:cs="Arial"/>
          <w:i/>
          <w:iCs/>
          <w:color w:val="auto"/>
          <w:sz w:val="22"/>
          <w:lang w:val="es-AR"/>
        </w:rPr>
        <w:t xml:space="preserve">La implementación del Sistema Globalmente Armonizado de Clasificación y Etiquetado de Sustancias Químicas (SGA) sigue siendo un desafío para América del Sur, que busca cumplir con los estándares regulatorios ya seguidos en varios países del mundo. Si bien la industria necesita implementar tendencias en digitalización, de un extremo a otro, desde la investigación y el desarrollo hasta las actividades que involucran a sus clientes, también debe satisfacer las demandas de ESG (ambiental, social y de gobernanza) y no contribuir al aumento del </w:t>
      </w:r>
      <w:r w:rsidRPr="004C0C6A">
        <w:rPr>
          <w:rFonts w:ascii="Arial" w:hAnsi="Arial" w:cs="Arial"/>
          <w:i/>
          <w:iCs/>
          <w:color w:val="auto"/>
          <w:sz w:val="22"/>
          <w:lang w:val="es-AR"/>
        </w:rPr>
        <w:lastRenderedPageBreak/>
        <w:t>consumo de energía. La economía circular está en el centro de atención en el proceso de descarbonización</w:t>
      </w:r>
      <w:r w:rsidRPr="004C0C6A">
        <w:rPr>
          <w:rFonts w:ascii="Arial" w:hAnsi="Arial" w:cs="Arial"/>
          <w:color w:val="auto"/>
          <w:sz w:val="22"/>
          <w:lang w:val="es-AR"/>
        </w:rPr>
        <w:t>”.</w:t>
      </w:r>
    </w:p>
    <w:p w14:paraId="5EAB8FEE" w14:textId="77777777" w:rsidR="004C0C6A" w:rsidRPr="004C0C6A" w:rsidRDefault="004C0C6A" w:rsidP="00CA2549">
      <w:pPr>
        <w:jc w:val="both"/>
        <w:rPr>
          <w:rFonts w:ascii="Arial" w:hAnsi="Arial" w:cs="Arial"/>
          <w:color w:val="auto"/>
          <w:sz w:val="22"/>
          <w:lang w:val="es-AR"/>
        </w:rPr>
      </w:pPr>
      <w:r w:rsidRPr="004C0C6A">
        <w:rPr>
          <w:rFonts w:ascii="Arial" w:hAnsi="Arial" w:cs="Arial"/>
          <w:b/>
          <w:bCs/>
          <w:color w:val="auto"/>
          <w:sz w:val="22"/>
          <w:lang w:val="es-AR"/>
        </w:rPr>
        <w:t>3. Mayor diversidad en el liderazgo</w:t>
      </w:r>
      <w:r w:rsidRPr="004C0C6A">
        <w:rPr>
          <w:rFonts w:ascii="Arial" w:hAnsi="Arial" w:cs="Arial"/>
          <w:color w:val="auto"/>
          <w:sz w:val="22"/>
          <w:lang w:val="es-AR"/>
        </w:rPr>
        <w:t>: Aunque recientemente han existido algunos avances, la participación de las mujeres y de las minorías en el liderazgo químico permanece obstinadamente baja. El liderazgo ha seguido típicamente un modelo muy tradicional: la mayoría de los profesionales posee un título en ingeniería química y una experiencia empresarial comparable y comparten antecedentes similares; estos puntos en común conducen potencialmente a una carencia de diversidad de pensamiento. En el entorno dinámico actual, es necesario que exista una mayor diversidad que aporte nuevas perspectivas, e ideas que ofrezcan mayor agilidad en respuesta a los nuevos desafíos.</w:t>
      </w:r>
    </w:p>
    <w:p w14:paraId="76BD83E3" w14:textId="77777777" w:rsidR="004C0C6A" w:rsidRPr="004C0C6A" w:rsidRDefault="004C0C6A" w:rsidP="00CA2549">
      <w:pPr>
        <w:jc w:val="both"/>
        <w:rPr>
          <w:rFonts w:ascii="Arial" w:hAnsi="Arial" w:cs="Arial"/>
          <w:color w:val="auto"/>
          <w:sz w:val="22"/>
          <w:lang w:val="es-AR"/>
        </w:rPr>
      </w:pPr>
      <w:r w:rsidRPr="004C0C6A">
        <w:rPr>
          <w:rFonts w:ascii="Arial" w:hAnsi="Arial" w:cs="Arial"/>
          <w:b/>
          <w:bCs/>
          <w:color w:val="auto"/>
          <w:sz w:val="22"/>
          <w:lang w:val="es-AR"/>
        </w:rPr>
        <w:t>4. Aumento de fusiones y adquisiciones</w:t>
      </w:r>
      <w:r w:rsidRPr="004C0C6A">
        <w:rPr>
          <w:rFonts w:ascii="Arial" w:hAnsi="Arial" w:cs="Arial"/>
          <w:color w:val="auto"/>
          <w:sz w:val="22"/>
          <w:lang w:val="es-AR"/>
        </w:rPr>
        <w:t xml:space="preserve">: El COVID-19 no detuvo la actividad comercial. Incluso en un mercado complejo, hubo múltiples acuerdos valuados en miles de millones de dólares y transacciones multimillonarias En efecto, el mercado de fusiones y adquisiciones (M&amp;A) está más activo que nunca </w:t>
      </w:r>
      <w:proofErr w:type="gramStart"/>
      <w:r w:rsidRPr="004C0C6A">
        <w:rPr>
          <w:rFonts w:ascii="Arial" w:hAnsi="Arial" w:cs="Arial"/>
          <w:color w:val="auto"/>
          <w:sz w:val="22"/>
          <w:lang w:val="es-AR"/>
        </w:rPr>
        <w:t>en relación a</w:t>
      </w:r>
      <w:proofErr w:type="gramEnd"/>
      <w:r w:rsidRPr="004C0C6A">
        <w:rPr>
          <w:rFonts w:ascii="Arial" w:hAnsi="Arial" w:cs="Arial"/>
          <w:color w:val="auto"/>
          <w:sz w:val="22"/>
          <w:lang w:val="es-AR"/>
        </w:rPr>
        <w:t xml:space="preserve"> los productos químicos.</w:t>
      </w:r>
    </w:p>
    <w:p w14:paraId="5F7980EB" w14:textId="4C9311F0" w:rsidR="004C0C6A" w:rsidRDefault="004C0C6A" w:rsidP="00CA2549">
      <w:pPr>
        <w:jc w:val="both"/>
        <w:rPr>
          <w:rFonts w:ascii="Arial" w:hAnsi="Arial" w:cs="Arial"/>
          <w:color w:val="auto"/>
          <w:sz w:val="22"/>
          <w:lang w:val="es-AR"/>
        </w:rPr>
      </w:pPr>
      <w:r w:rsidRPr="004C0C6A">
        <w:rPr>
          <w:rFonts w:ascii="Arial" w:hAnsi="Arial" w:cs="Arial"/>
          <w:b/>
          <w:bCs/>
          <w:color w:val="auto"/>
          <w:sz w:val="22"/>
          <w:lang w:val="es-AR"/>
        </w:rPr>
        <w:t>5. Carteras diversificadas</w:t>
      </w:r>
      <w:r w:rsidRPr="004C0C6A">
        <w:rPr>
          <w:rFonts w:ascii="Arial" w:hAnsi="Arial" w:cs="Arial"/>
          <w:color w:val="auto"/>
          <w:sz w:val="22"/>
          <w:lang w:val="es-AR"/>
        </w:rPr>
        <w:t>: Históricamente, muchas de las mayores empresas químicas han sido diversificadas (generalmente como resultado de M&amp;A pasadas, aunque durante los últimos 10 años ha habido una presión de reestructurar las carteras para que se centren en una menor cantidad de negocios principales), una presión ejercida por los inversionistas activistas en EE. UU. Sin embargo, durante la pandemia, las empresas que se concentraron en los segmentos del mercado "equivocados" fueron las que más sufrieron durante la crisis. Aprender de las lecciones de 2020</w:t>
      </w:r>
      <w:r w:rsidR="00CA2549">
        <w:rPr>
          <w:rFonts w:ascii="Arial" w:hAnsi="Arial" w:cs="Arial"/>
          <w:color w:val="auto"/>
          <w:sz w:val="22"/>
          <w:lang w:val="es-AR"/>
        </w:rPr>
        <w:t xml:space="preserve"> </w:t>
      </w:r>
      <w:r w:rsidRPr="004C0C6A">
        <w:rPr>
          <w:rFonts w:ascii="Arial" w:hAnsi="Arial" w:cs="Arial"/>
          <w:color w:val="auto"/>
          <w:sz w:val="22"/>
          <w:lang w:val="es-AR"/>
        </w:rPr>
        <w:t>es un imperativo estratégico para que todas las empresas químicas evalúen activamente sus carteras y determinen si se requiere un cambio de dirección. La diversificación ya no debería ser una mala palabra en la industria, siempre y cuando no se convierta en una excusa para la falta de enfoque.</w:t>
      </w:r>
    </w:p>
    <w:p w14:paraId="6EE9862B" w14:textId="0FCD05C0" w:rsidR="00115B25" w:rsidRDefault="00115B25" w:rsidP="004C0C6A">
      <w:pPr>
        <w:rPr>
          <w:rFonts w:ascii="Arial" w:hAnsi="Arial" w:cs="Arial"/>
          <w:color w:val="auto"/>
          <w:sz w:val="22"/>
          <w:lang w:val="es-AR"/>
        </w:rPr>
      </w:pPr>
    </w:p>
    <w:p w14:paraId="47626068" w14:textId="77777777" w:rsidR="00115B25" w:rsidRPr="004C0C6A" w:rsidRDefault="00115B25" w:rsidP="004C0C6A">
      <w:pPr>
        <w:rPr>
          <w:rFonts w:ascii="Arial" w:hAnsi="Arial" w:cs="Arial"/>
          <w:color w:val="auto"/>
          <w:sz w:val="22"/>
          <w:lang w:val="es-AR"/>
        </w:rPr>
      </w:pPr>
    </w:p>
    <w:p w14:paraId="777E160C" w14:textId="3560E577" w:rsidR="00115B25" w:rsidRPr="00115B25" w:rsidRDefault="00DA5B81" w:rsidP="002B6BB4">
      <w:pPr>
        <w:spacing w:before="0" w:after="0"/>
        <w:jc w:val="center"/>
        <w:rPr>
          <w:rFonts w:ascii="Arial" w:hAnsi="Arial" w:cs="Arial"/>
          <w:color w:val="auto"/>
          <w:sz w:val="20"/>
          <w:szCs w:val="20"/>
          <w:lang w:val="es-AR"/>
        </w:rPr>
      </w:pPr>
      <w:hyperlink r:id="rId11" w:history="1">
        <w:r w:rsidR="004C0C6A" w:rsidRPr="00115B25">
          <w:rPr>
            <w:rStyle w:val="Hyperlink"/>
            <w:rFonts w:ascii="Arial" w:hAnsi="Arial" w:cs="Arial"/>
            <w:color w:val="auto"/>
            <w:sz w:val="20"/>
            <w:szCs w:val="20"/>
            <w:u w:val="none"/>
            <w:lang w:val="es-AR"/>
          </w:rPr>
          <w:t>Descargue la publicación completa en el siguiente enlace.</w:t>
        </w:r>
      </w:hyperlink>
    </w:p>
    <w:p w14:paraId="47A619E9" w14:textId="56CD0016" w:rsidR="004C0C6A" w:rsidRPr="00115B25" w:rsidRDefault="00115B25" w:rsidP="002B6BB4">
      <w:pPr>
        <w:spacing w:before="0" w:after="0"/>
        <w:jc w:val="center"/>
        <w:rPr>
          <w:rFonts w:ascii="Arial" w:hAnsi="Arial" w:cs="Arial"/>
          <w:color w:val="0070C0"/>
          <w:sz w:val="18"/>
          <w:szCs w:val="18"/>
          <w:lang w:val="es-AR"/>
        </w:rPr>
      </w:pPr>
      <w:r w:rsidRPr="00115B25">
        <w:rPr>
          <w:rFonts w:ascii="Arial" w:hAnsi="Arial" w:cs="Arial"/>
          <w:color w:val="0070C0"/>
          <w:sz w:val="18"/>
          <w:szCs w:val="18"/>
          <w:lang w:val="es-AR"/>
        </w:rPr>
        <w:t>https://assets.kpmg/content/dam/kpmg/pe/pdf/KPMG_en_Per%C3%BA_cinco-tendencias-que-daran-forma-a-la-industria-quimica-en-2021.pdf</w:t>
      </w:r>
    </w:p>
    <w:p w14:paraId="3A166372" w14:textId="774CD0E1" w:rsidR="009F23EC" w:rsidRPr="008D3B12" w:rsidRDefault="009F23EC" w:rsidP="00542CAE">
      <w:pPr>
        <w:pStyle w:val="Volanta"/>
        <w:tabs>
          <w:tab w:val="left" w:pos="8025"/>
        </w:tabs>
        <w:jc w:val="both"/>
        <w:rPr>
          <w:rFonts w:ascii="Arial" w:hAnsi="Arial" w:cs="Arial"/>
          <w:b w:val="0"/>
          <w:color w:val="auto"/>
          <w:kern w:val="0"/>
          <w:sz w:val="22"/>
          <w:szCs w:val="22"/>
          <w:lang w:val="es-AR"/>
        </w:rPr>
        <w:sectPr w:rsidR="009F23EC" w:rsidRPr="008D3B12" w:rsidSect="00295E19">
          <w:footerReference w:type="default" r:id="rId12"/>
          <w:headerReference w:type="first" r:id="rId13"/>
          <w:type w:val="continuous"/>
          <w:pgSz w:w="11907" w:h="16839" w:code="9"/>
          <w:pgMar w:top="1440" w:right="1107" w:bottom="1440" w:left="1080" w:header="360" w:footer="720" w:gutter="0"/>
          <w:cols w:space="720"/>
          <w:titlePg/>
          <w:docGrid w:linePitch="360"/>
        </w:sectPr>
      </w:pPr>
    </w:p>
    <w:p w14:paraId="07F1E4C2" w14:textId="4123F9C2" w:rsidR="00542CAE" w:rsidRDefault="00542CAE" w:rsidP="00542CAE">
      <w:pPr>
        <w:spacing w:before="0" w:after="0"/>
        <w:rPr>
          <w:color w:val="auto"/>
          <w:sz w:val="22"/>
          <w:lang w:val="es-AR"/>
        </w:rPr>
      </w:pPr>
    </w:p>
    <w:p w14:paraId="1C314B97" w14:textId="77777777" w:rsidR="00CA2549" w:rsidRDefault="00CA2549" w:rsidP="00542CAE">
      <w:pPr>
        <w:spacing w:before="0" w:after="0"/>
        <w:rPr>
          <w:color w:val="auto"/>
          <w:sz w:val="22"/>
          <w:lang w:val="es-AR"/>
        </w:rPr>
      </w:pPr>
    </w:p>
    <w:p w14:paraId="70C93F40" w14:textId="77777777" w:rsidR="003F0655" w:rsidRPr="00054C16" w:rsidRDefault="003F0655"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7551FA" w14:paraId="35D5F351" w14:textId="77777777" w:rsidTr="007E56CC">
        <w:trPr>
          <w:trHeight w:val="1659"/>
        </w:trPr>
        <w:tc>
          <w:tcPr>
            <w:tcW w:w="9402" w:type="dxa"/>
            <w:vAlign w:val="center"/>
          </w:tcPr>
          <w:p w14:paraId="74AAC54F" w14:textId="77777777" w:rsidR="00E17636" w:rsidRPr="003858E8" w:rsidRDefault="00E17636" w:rsidP="00070F68">
            <w:pPr>
              <w:keepNext/>
              <w:spacing w:before="0" w:after="0"/>
              <w:mirrorIndents/>
              <w:outlineLvl w:val="2"/>
              <w:rPr>
                <w:rFonts w:ascii="Arial" w:hAnsi="Arial" w:cs="Arial"/>
                <w:b/>
                <w:bCs/>
                <w:color w:val="FFFFFF" w:themeColor="background1"/>
                <w:sz w:val="24"/>
                <w:szCs w:val="24"/>
                <w:lang w:val="es-MX"/>
              </w:rPr>
            </w:pPr>
            <w:r w:rsidRPr="003858E8">
              <w:rPr>
                <w:rFonts w:ascii="Arial" w:hAnsi="Arial" w:cs="Arial"/>
                <w:b/>
                <w:bCs/>
                <w:color w:val="FFFFFF" w:themeColor="background1"/>
                <w:sz w:val="24"/>
                <w:szCs w:val="24"/>
                <w:lang w:val="es-MX"/>
              </w:rPr>
              <w:t>Acerca de KPMG Internacional</w:t>
            </w:r>
          </w:p>
          <w:p w14:paraId="56605FBC" w14:textId="77777777" w:rsidR="00E17636" w:rsidRPr="00E17636" w:rsidRDefault="00E17636" w:rsidP="00E17636">
            <w:pPr>
              <w:spacing w:before="0" w:after="0"/>
              <w:rPr>
                <w:lang w:val="es-MX"/>
              </w:rPr>
            </w:pPr>
          </w:p>
          <w:p w14:paraId="2B56A3C8" w14:textId="3F6A2F52" w:rsidR="004D761B" w:rsidRPr="00331AD8" w:rsidRDefault="003858E8" w:rsidP="003858E8">
            <w:pPr>
              <w:widowControl w:val="0"/>
              <w:autoSpaceDE w:val="0"/>
              <w:autoSpaceDN w:val="0"/>
              <w:spacing w:before="2" w:after="0"/>
              <w:ind w:right="170"/>
              <w:rPr>
                <w:rFonts w:ascii="Arial" w:hAnsi="Arial" w:cs="Arial"/>
                <w:color w:val="FFFFFF" w:themeColor="background1"/>
              </w:rPr>
            </w:pPr>
            <w:r w:rsidRPr="003858E8">
              <w:rPr>
                <w:rFonts w:ascii="Arial" w:hAnsi="Arial" w:cs="Arial"/>
                <w:color w:val="FFFFFF" w:themeColor="background1"/>
                <w:sz w:val="18"/>
                <w:lang w:val="es-AR"/>
              </w:rPr>
              <w:t>KPMG es una organización global de firmas de servicios profesionales independientes que brindan servicios de auditoría, impuestos y asesoría. Operamos en 146 países y jurisdicciones y contamos con 227.000 personas trabajando en firmas miembro en todo el mundo. Cada firma de KPMG es una entidad legalmente distinta y separada y se describe a sí misma como tal. KPMG International Limited es una entidad privada inglesa limitada por garantía. KPMG International Limited no brinda servicios a los clientes</w:t>
            </w:r>
            <w:r w:rsidRPr="00573E71">
              <w:rPr>
                <w:rFonts w:ascii="Arial" w:hAnsi="Arial" w:cs="Arial"/>
                <w:color w:val="FFFFFF" w:themeColor="background1"/>
                <w:lang w:val="es-ES_tradnl"/>
              </w:rPr>
              <w:t>.</w:t>
            </w:r>
            <w:r w:rsidRPr="00573F0A">
              <w:rPr>
                <w:rFonts w:ascii="Arial" w:hAnsi="Arial" w:cs="Arial"/>
                <w:lang w:val="es-ES_tradnl"/>
              </w:rPr>
              <w:br/>
            </w: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115B25" w14:paraId="246E0BF5" w14:textId="77777777" w:rsidTr="007E56CC">
        <w:trPr>
          <w:trHeight w:val="1479"/>
        </w:trPr>
        <w:tc>
          <w:tcPr>
            <w:tcW w:w="9402" w:type="dxa"/>
            <w:vAlign w:val="center"/>
          </w:tcPr>
          <w:p w14:paraId="5F4E0307" w14:textId="4237034E" w:rsidR="00731B15" w:rsidRPr="00731B15" w:rsidRDefault="003858E8" w:rsidP="00070F68">
            <w:pPr>
              <w:pStyle w:val="Heading3"/>
              <w:spacing w:before="0" w:after="0"/>
              <w:mirrorIndents/>
              <w:outlineLvl w:val="2"/>
              <w:rPr>
                <w:rFonts w:ascii="Arial" w:hAnsi="Arial" w:cs="Arial"/>
                <w:color w:val="FFFFFF" w:themeColor="background1"/>
                <w:szCs w:val="24"/>
                <w:lang w:val="es-MX"/>
              </w:rPr>
            </w:pPr>
            <w:r>
              <w:rPr>
                <w:rFonts w:ascii="Arial" w:hAnsi="Arial" w:cs="Arial"/>
                <w:color w:val="FFFFFF" w:themeColor="background1"/>
                <w:szCs w:val="24"/>
                <w:lang w:val="es-MX"/>
              </w:rPr>
              <w:t xml:space="preserve">Acerca de </w:t>
            </w:r>
            <w:r w:rsidR="00731B15" w:rsidRPr="00731B15">
              <w:rPr>
                <w:rFonts w:ascii="Arial" w:hAnsi="Arial" w:cs="Arial"/>
                <w:color w:val="FFFFFF" w:themeColor="background1"/>
                <w:szCs w:val="24"/>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721EBDB6"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77777777" w:rsidR="00440696" w:rsidRDefault="00440696" w:rsidP="00295E19">
      <w:pPr>
        <w:pStyle w:val="acerca-kpmg"/>
        <w:ind w:left="90"/>
        <w:mirrorIndents/>
        <w:rPr>
          <w:rFonts w:ascii="Arial" w:hAnsi="Arial" w:cs="Arial"/>
        </w:rPr>
      </w:pPr>
    </w:p>
    <w:p w14:paraId="36018F98" w14:textId="2A2D979B" w:rsidR="00CC11C8" w:rsidRDefault="00CC11C8" w:rsidP="008C2C04">
      <w:pPr>
        <w:pStyle w:val="acerca-kpmg"/>
        <w:mirrorIndents/>
        <w:rPr>
          <w:rFonts w:ascii="Arial" w:hAnsi="Arial" w:cs="Arial"/>
        </w:rPr>
      </w:pPr>
    </w:p>
    <w:p w14:paraId="321DCE2E" w14:textId="3C7B8F61" w:rsidR="00CA2549" w:rsidRDefault="00CA2549" w:rsidP="008C2C04">
      <w:pPr>
        <w:pStyle w:val="acerca-kpmg"/>
        <w:mirrorIndents/>
        <w:rPr>
          <w:rFonts w:ascii="Arial" w:hAnsi="Arial" w:cs="Arial"/>
        </w:rPr>
      </w:pPr>
    </w:p>
    <w:p w14:paraId="6B385FD1" w14:textId="6CC0BE1F" w:rsidR="00CA2549" w:rsidRDefault="00CA2549" w:rsidP="008C2C04">
      <w:pPr>
        <w:pStyle w:val="acerca-kpmg"/>
        <w:mirrorIndents/>
        <w:rPr>
          <w:rFonts w:ascii="Arial" w:hAnsi="Arial" w:cs="Arial"/>
        </w:rPr>
      </w:pPr>
    </w:p>
    <w:p w14:paraId="394AAC5D" w14:textId="77777777" w:rsidR="00CA2549" w:rsidRPr="00207140" w:rsidRDefault="00CA2549"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proofErr w:type="spellStart"/>
            <w:r w:rsidRPr="00731B15">
              <w:rPr>
                <w:rStyle w:val="BookTitle"/>
                <w:rFonts w:ascii="Arial" w:hAnsi="Arial" w:cs="Arial"/>
                <w:color w:val="0070C0"/>
                <w:sz w:val="24"/>
              </w:rPr>
              <w:lastRenderedPageBreak/>
              <w:t>Contactos</w:t>
            </w:r>
            <w:proofErr w:type="spellEnd"/>
            <w:r w:rsidR="00015B5B" w:rsidRPr="00731B15">
              <w:rPr>
                <w:rStyle w:val="BookTitle"/>
                <w:rFonts w:ascii="Arial" w:hAnsi="Arial" w:cs="Arial"/>
                <w:color w:val="0070C0"/>
                <w:sz w:val="24"/>
              </w:rPr>
              <w:t xml:space="preserve"> de Prensa</w:t>
            </w: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DA5B81" w:rsidP="00295E19">
            <w:pPr>
              <w:spacing w:before="0" w:after="0"/>
              <w:ind w:left="90"/>
              <w:rPr>
                <w:rStyle w:val="BookTitle"/>
                <w:rFonts w:ascii="Arial" w:hAnsi="Arial" w:cs="Arial"/>
                <w:b w:val="0"/>
                <w:color w:val="auto"/>
                <w:szCs w:val="18"/>
                <w:lang w:val="nl-NL"/>
              </w:rPr>
            </w:pPr>
            <w:hyperlink r:id="rId14"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DA5B81" w:rsidP="00A6516F">
            <w:pPr>
              <w:spacing w:before="0" w:after="0"/>
              <w:ind w:left="90"/>
              <w:rPr>
                <w:rStyle w:val="BookTitle"/>
                <w:rFonts w:ascii="Arial" w:hAnsi="Arial"/>
                <w:b w:val="0"/>
                <w:bCs w:val="0"/>
                <w:color w:val="auto"/>
              </w:rPr>
            </w:pPr>
            <w:hyperlink r:id="rId15"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0323619D" w14:textId="77777777" w:rsidR="009F23EC" w:rsidRDefault="009F23EC" w:rsidP="00295E19">
            <w:pPr>
              <w:pStyle w:val="contactos"/>
              <w:tabs>
                <w:tab w:val="left" w:pos="1845"/>
              </w:tabs>
              <w:ind w:left="90"/>
              <w:rPr>
                <w:rFonts w:ascii="Arial" w:hAnsi="Arial" w:cs="Arial"/>
                <w:sz w:val="22"/>
              </w:rPr>
            </w:pPr>
          </w:p>
          <w:p w14:paraId="379CC2D3" w14:textId="52E485A5" w:rsidR="009C2DF7" w:rsidRPr="003858E8" w:rsidRDefault="00DA5B81" w:rsidP="00295E19">
            <w:pPr>
              <w:pStyle w:val="contactos"/>
              <w:tabs>
                <w:tab w:val="left" w:pos="1845"/>
              </w:tabs>
              <w:ind w:left="90"/>
              <w:rPr>
                <w:rFonts w:ascii="Arial" w:hAnsi="Arial" w:cs="Arial"/>
                <w:color w:val="0070C0"/>
                <w:sz w:val="22"/>
              </w:rPr>
            </w:pPr>
            <w:hyperlink r:id="rId16" w:history="1">
              <w:r w:rsidR="009F23EC" w:rsidRPr="003858E8">
                <w:rPr>
                  <w:rStyle w:val="Hyperlink"/>
                  <w:rFonts w:ascii="Arial" w:hAnsi="Arial" w:cs="Arial"/>
                  <w:color w:val="0070C0"/>
                  <w:sz w:val="22"/>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9"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DA5B81" w:rsidP="00837716">
            <w:pPr>
              <w:rPr>
                <w:b/>
              </w:rPr>
            </w:pPr>
            <w:hyperlink r:id="rId20"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1">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@KPMGArgentina</w:t>
            </w:r>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3">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5">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7">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DA5B81" w:rsidP="003F0546">
            <w:pPr>
              <w:rPr>
                <w:b/>
              </w:rPr>
            </w:pPr>
            <w:hyperlink r:id="rId28"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0"/>
      <w:headerReference w:type="first" r:id="rId31"/>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841BB" w14:textId="77777777" w:rsidR="00885FF8" w:rsidRDefault="00885FF8" w:rsidP="00942A00">
      <w:pPr>
        <w:spacing w:before="0" w:after="0"/>
      </w:pPr>
      <w:r>
        <w:separator/>
      </w:r>
    </w:p>
  </w:endnote>
  <w:endnote w:type="continuationSeparator" w:id="0">
    <w:p w14:paraId="506D57B7" w14:textId="77777777" w:rsidR="00885FF8" w:rsidRDefault="00885FF8"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4AEB" w14:textId="423F2803"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2B6BB4">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007" w14:textId="24833384" w:rsidR="007A0EF1" w:rsidRPr="007A0EF1" w:rsidRDefault="007A0EF1" w:rsidP="007A0EF1">
    <w:pPr>
      <w:rPr>
        <w:rFonts w:ascii="Calibri" w:hAnsi="Calibri"/>
        <w:color w:val="auto"/>
        <w:sz w:val="14"/>
        <w:szCs w:val="14"/>
        <w:lang w:val="es-AR"/>
      </w:rPr>
    </w:pPr>
    <w:bookmarkStart w:id="0" w:name="_Hlk56001445"/>
    <w:r w:rsidRPr="007A0EF1">
      <w:rPr>
        <w:rFonts w:ascii="Arial" w:hAnsi="Arial" w:cs="Arial"/>
        <w:color w:val="333333"/>
        <w:sz w:val="14"/>
        <w:szCs w:val="14"/>
        <w:lang w:val="es-AR"/>
      </w:rPr>
      <w:t>© 202</w:t>
    </w:r>
    <w:r w:rsidR="007551FA">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0"/>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5730" w14:textId="77777777" w:rsidR="00885FF8" w:rsidRDefault="00885FF8" w:rsidP="00942A00">
      <w:pPr>
        <w:spacing w:before="0" w:after="0"/>
      </w:pPr>
      <w:r>
        <w:separator/>
      </w:r>
    </w:p>
  </w:footnote>
  <w:footnote w:type="continuationSeparator" w:id="0">
    <w:p w14:paraId="2F6D4323" w14:textId="77777777" w:rsidR="00885FF8" w:rsidRDefault="00885FF8"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1F6502EE"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115B25">
            <w:rPr>
              <w:noProof/>
              <w:lang w:val="es-AR"/>
            </w:rPr>
            <w:t>15 de abril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31507"/>
    <w:rsid w:val="000316DE"/>
    <w:rsid w:val="00031CC1"/>
    <w:rsid w:val="00046620"/>
    <w:rsid w:val="00050E2D"/>
    <w:rsid w:val="0005412E"/>
    <w:rsid w:val="00054C16"/>
    <w:rsid w:val="00062A4E"/>
    <w:rsid w:val="00070F68"/>
    <w:rsid w:val="00075A3D"/>
    <w:rsid w:val="00083C36"/>
    <w:rsid w:val="00085855"/>
    <w:rsid w:val="000A08B8"/>
    <w:rsid w:val="000A5902"/>
    <w:rsid w:val="000B600B"/>
    <w:rsid w:val="000E2D54"/>
    <w:rsid w:val="000E2EBE"/>
    <w:rsid w:val="000F0DD2"/>
    <w:rsid w:val="000F58B1"/>
    <w:rsid w:val="000F7CBB"/>
    <w:rsid w:val="001130FC"/>
    <w:rsid w:val="00115B25"/>
    <w:rsid w:val="001268C7"/>
    <w:rsid w:val="00126AD0"/>
    <w:rsid w:val="00132527"/>
    <w:rsid w:val="00143F73"/>
    <w:rsid w:val="00151FF7"/>
    <w:rsid w:val="00154FCF"/>
    <w:rsid w:val="00155579"/>
    <w:rsid w:val="001752D5"/>
    <w:rsid w:val="00176056"/>
    <w:rsid w:val="001849F0"/>
    <w:rsid w:val="001937F8"/>
    <w:rsid w:val="001A1D91"/>
    <w:rsid w:val="001A2D63"/>
    <w:rsid w:val="001B33B3"/>
    <w:rsid w:val="001B5F37"/>
    <w:rsid w:val="001D3458"/>
    <w:rsid w:val="001E063D"/>
    <w:rsid w:val="001E2B8C"/>
    <w:rsid w:val="00207140"/>
    <w:rsid w:val="0021057B"/>
    <w:rsid w:val="0021481D"/>
    <w:rsid w:val="00223FBB"/>
    <w:rsid w:val="0022422B"/>
    <w:rsid w:val="00244788"/>
    <w:rsid w:val="002452B6"/>
    <w:rsid w:val="00245862"/>
    <w:rsid w:val="00263F27"/>
    <w:rsid w:val="00273855"/>
    <w:rsid w:val="00283543"/>
    <w:rsid w:val="00286C24"/>
    <w:rsid w:val="00295883"/>
    <w:rsid w:val="00295E19"/>
    <w:rsid w:val="002B6BB4"/>
    <w:rsid w:val="002C1A16"/>
    <w:rsid w:val="002D0EA2"/>
    <w:rsid w:val="002D70C9"/>
    <w:rsid w:val="002F21B7"/>
    <w:rsid w:val="002F6DE8"/>
    <w:rsid w:val="003251EB"/>
    <w:rsid w:val="003313BC"/>
    <w:rsid w:val="00331AD8"/>
    <w:rsid w:val="00343318"/>
    <w:rsid w:val="003473E0"/>
    <w:rsid w:val="00347879"/>
    <w:rsid w:val="00355630"/>
    <w:rsid w:val="00355FC4"/>
    <w:rsid w:val="003663BC"/>
    <w:rsid w:val="00372133"/>
    <w:rsid w:val="00376AE8"/>
    <w:rsid w:val="003858E8"/>
    <w:rsid w:val="00395F5A"/>
    <w:rsid w:val="00397ABA"/>
    <w:rsid w:val="003A0F26"/>
    <w:rsid w:val="003A6C06"/>
    <w:rsid w:val="003C22D2"/>
    <w:rsid w:val="003C5B42"/>
    <w:rsid w:val="003D230C"/>
    <w:rsid w:val="003D6043"/>
    <w:rsid w:val="003D7A33"/>
    <w:rsid w:val="003E0201"/>
    <w:rsid w:val="003E045B"/>
    <w:rsid w:val="003E518D"/>
    <w:rsid w:val="003F0546"/>
    <w:rsid w:val="003F0655"/>
    <w:rsid w:val="003F2D62"/>
    <w:rsid w:val="003F5830"/>
    <w:rsid w:val="00400B4F"/>
    <w:rsid w:val="004254BB"/>
    <w:rsid w:val="004302EB"/>
    <w:rsid w:val="00440696"/>
    <w:rsid w:val="00462120"/>
    <w:rsid w:val="004B750B"/>
    <w:rsid w:val="004C09DA"/>
    <w:rsid w:val="004C0C6A"/>
    <w:rsid w:val="004C5F15"/>
    <w:rsid w:val="004D761B"/>
    <w:rsid w:val="004E0259"/>
    <w:rsid w:val="004E3483"/>
    <w:rsid w:val="004E6928"/>
    <w:rsid w:val="004E7E81"/>
    <w:rsid w:val="00500AC5"/>
    <w:rsid w:val="0050768C"/>
    <w:rsid w:val="005147BF"/>
    <w:rsid w:val="00520855"/>
    <w:rsid w:val="00523703"/>
    <w:rsid w:val="00537BC3"/>
    <w:rsid w:val="00542CAE"/>
    <w:rsid w:val="005613F7"/>
    <w:rsid w:val="005654D6"/>
    <w:rsid w:val="00571DF1"/>
    <w:rsid w:val="0058211F"/>
    <w:rsid w:val="005821E2"/>
    <w:rsid w:val="005939CF"/>
    <w:rsid w:val="005B5BBC"/>
    <w:rsid w:val="005C5FB8"/>
    <w:rsid w:val="005D2CA2"/>
    <w:rsid w:val="005D4A03"/>
    <w:rsid w:val="005E2E02"/>
    <w:rsid w:val="005F02D6"/>
    <w:rsid w:val="005F3912"/>
    <w:rsid w:val="00612E94"/>
    <w:rsid w:val="0061338A"/>
    <w:rsid w:val="006156CC"/>
    <w:rsid w:val="00620035"/>
    <w:rsid w:val="006410C0"/>
    <w:rsid w:val="00642969"/>
    <w:rsid w:val="00645A00"/>
    <w:rsid w:val="00645D2C"/>
    <w:rsid w:val="00654270"/>
    <w:rsid w:val="00664105"/>
    <w:rsid w:val="00664BD2"/>
    <w:rsid w:val="00671C67"/>
    <w:rsid w:val="006877C9"/>
    <w:rsid w:val="006A733E"/>
    <w:rsid w:val="006A77F6"/>
    <w:rsid w:val="006B5E7A"/>
    <w:rsid w:val="006B6F0E"/>
    <w:rsid w:val="006C1171"/>
    <w:rsid w:val="006C44BC"/>
    <w:rsid w:val="006D72E4"/>
    <w:rsid w:val="006E4F1D"/>
    <w:rsid w:val="006E685F"/>
    <w:rsid w:val="006E798B"/>
    <w:rsid w:val="006F1A98"/>
    <w:rsid w:val="00707D74"/>
    <w:rsid w:val="007100FB"/>
    <w:rsid w:val="007218E7"/>
    <w:rsid w:val="00723ACB"/>
    <w:rsid w:val="00731B15"/>
    <w:rsid w:val="00742967"/>
    <w:rsid w:val="00743F0A"/>
    <w:rsid w:val="007551FA"/>
    <w:rsid w:val="007556A0"/>
    <w:rsid w:val="007713DE"/>
    <w:rsid w:val="0078244D"/>
    <w:rsid w:val="0078416B"/>
    <w:rsid w:val="00790714"/>
    <w:rsid w:val="007A0EF1"/>
    <w:rsid w:val="007A3116"/>
    <w:rsid w:val="007A61A3"/>
    <w:rsid w:val="007A68E0"/>
    <w:rsid w:val="007B4F2D"/>
    <w:rsid w:val="007C1D62"/>
    <w:rsid w:val="007C552E"/>
    <w:rsid w:val="007D1CA8"/>
    <w:rsid w:val="007E56CC"/>
    <w:rsid w:val="007F3AD8"/>
    <w:rsid w:val="00800E1B"/>
    <w:rsid w:val="00810A9B"/>
    <w:rsid w:val="00817B6D"/>
    <w:rsid w:val="00817E8D"/>
    <w:rsid w:val="00821540"/>
    <w:rsid w:val="00837716"/>
    <w:rsid w:val="00842B6C"/>
    <w:rsid w:val="00852364"/>
    <w:rsid w:val="00854053"/>
    <w:rsid w:val="0085452B"/>
    <w:rsid w:val="008574C9"/>
    <w:rsid w:val="00866EFD"/>
    <w:rsid w:val="00880945"/>
    <w:rsid w:val="0088349C"/>
    <w:rsid w:val="00885FF8"/>
    <w:rsid w:val="008951A2"/>
    <w:rsid w:val="00896428"/>
    <w:rsid w:val="008A65EF"/>
    <w:rsid w:val="008C2C04"/>
    <w:rsid w:val="008C350C"/>
    <w:rsid w:val="008D3B12"/>
    <w:rsid w:val="008D3E04"/>
    <w:rsid w:val="008D4170"/>
    <w:rsid w:val="008D5642"/>
    <w:rsid w:val="008E6251"/>
    <w:rsid w:val="00911047"/>
    <w:rsid w:val="0091474D"/>
    <w:rsid w:val="009159DB"/>
    <w:rsid w:val="009210A4"/>
    <w:rsid w:val="00934EC4"/>
    <w:rsid w:val="009400F2"/>
    <w:rsid w:val="00942A00"/>
    <w:rsid w:val="00952D4F"/>
    <w:rsid w:val="0095706B"/>
    <w:rsid w:val="009656EB"/>
    <w:rsid w:val="00983D1C"/>
    <w:rsid w:val="009A48B3"/>
    <w:rsid w:val="009B0FF3"/>
    <w:rsid w:val="009B1E52"/>
    <w:rsid w:val="009B2060"/>
    <w:rsid w:val="009C1EF1"/>
    <w:rsid w:val="009C2DF7"/>
    <w:rsid w:val="009C317F"/>
    <w:rsid w:val="009E3B0E"/>
    <w:rsid w:val="009F0D78"/>
    <w:rsid w:val="009F23EC"/>
    <w:rsid w:val="00A03CFE"/>
    <w:rsid w:val="00A10643"/>
    <w:rsid w:val="00A203FA"/>
    <w:rsid w:val="00A20FCD"/>
    <w:rsid w:val="00A210F7"/>
    <w:rsid w:val="00A25506"/>
    <w:rsid w:val="00A32757"/>
    <w:rsid w:val="00A37023"/>
    <w:rsid w:val="00A432F1"/>
    <w:rsid w:val="00A45F94"/>
    <w:rsid w:val="00A46188"/>
    <w:rsid w:val="00A63668"/>
    <w:rsid w:val="00A63EBD"/>
    <w:rsid w:val="00A6516F"/>
    <w:rsid w:val="00A80810"/>
    <w:rsid w:val="00A823ED"/>
    <w:rsid w:val="00A94568"/>
    <w:rsid w:val="00A965B0"/>
    <w:rsid w:val="00AA6ECD"/>
    <w:rsid w:val="00AD3185"/>
    <w:rsid w:val="00AF3DCC"/>
    <w:rsid w:val="00B052D1"/>
    <w:rsid w:val="00B1544E"/>
    <w:rsid w:val="00B2701B"/>
    <w:rsid w:val="00B30B65"/>
    <w:rsid w:val="00B542F8"/>
    <w:rsid w:val="00B56092"/>
    <w:rsid w:val="00B5758E"/>
    <w:rsid w:val="00B62A25"/>
    <w:rsid w:val="00B63F7E"/>
    <w:rsid w:val="00B6789F"/>
    <w:rsid w:val="00B75CA8"/>
    <w:rsid w:val="00B94F50"/>
    <w:rsid w:val="00BB694E"/>
    <w:rsid w:val="00BB6CD0"/>
    <w:rsid w:val="00BC2D30"/>
    <w:rsid w:val="00BD3F11"/>
    <w:rsid w:val="00BE03D2"/>
    <w:rsid w:val="00BE1491"/>
    <w:rsid w:val="00C028B2"/>
    <w:rsid w:val="00C11563"/>
    <w:rsid w:val="00C119A5"/>
    <w:rsid w:val="00C16D3D"/>
    <w:rsid w:val="00C35615"/>
    <w:rsid w:val="00C55A47"/>
    <w:rsid w:val="00C62DEF"/>
    <w:rsid w:val="00C632C1"/>
    <w:rsid w:val="00C66B0C"/>
    <w:rsid w:val="00C67F8B"/>
    <w:rsid w:val="00C83396"/>
    <w:rsid w:val="00C85217"/>
    <w:rsid w:val="00C94F49"/>
    <w:rsid w:val="00C95B41"/>
    <w:rsid w:val="00C97DBB"/>
    <w:rsid w:val="00CA2549"/>
    <w:rsid w:val="00CB2FAD"/>
    <w:rsid w:val="00CB35F6"/>
    <w:rsid w:val="00CC11C8"/>
    <w:rsid w:val="00CC4B57"/>
    <w:rsid w:val="00CD0CDB"/>
    <w:rsid w:val="00CD6001"/>
    <w:rsid w:val="00CF22F5"/>
    <w:rsid w:val="00CF249F"/>
    <w:rsid w:val="00D02461"/>
    <w:rsid w:val="00D14483"/>
    <w:rsid w:val="00D16C4E"/>
    <w:rsid w:val="00D21D1B"/>
    <w:rsid w:val="00D35489"/>
    <w:rsid w:val="00D37474"/>
    <w:rsid w:val="00D3764B"/>
    <w:rsid w:val="00D4115D"/>
    <w:rsid w:val="00D42E50"/>
    <w:rsid w:val="00D51CF0"/>
    <w:rsid w:val="00D53F60"/>
    <w:rsid w:val="00D55C81"/>
    <w:rsid w:val="00D6384C"/>
    <w:rsid w:val="00D64AB0"/>
    <w:rsid w:val="00D677FE"/>
    <w:rsid w:val="00D731FD"/>
    <w:rsid w:val="00D7628B"/>
    <w:rsid w:val="00D84A7D"/>
    <w:rsid w:val="00D85C96"/>
    <w:rsid w:val="00DA5B81"/>
    <w:rsid w:val="00DB03FF"/>
    <w:rsid w:val="00E1497B"/>
    <w:rsid w:val="00E17636"/>
    <w:rsid w:val="00E321F5"/>
    <w:rsid w:val="00E3358D"/>
    <w:rsid w:val="00E47593"/>
    <w:rsid w:val="00E67876"/>
    <w:rsid w:val="00E7763E"/>
    <w:rsid w:val="00E927CA"/>
    <w:rsid w:val="00EA29B2"/>
    <w:rsid w:val="00EB567A"/>
    <w:rsid w:val="00EB78B0"/>
    <w:rsid w:val="00EC0B8B"/>
    <w:rsid w:val="00EC22E4"/>
    <w:rsid w:val="00EC6B2D"/>
    <w:rsid w:val="00ED3DBE"/>
    <w:rsid w:val="00ED7A23"/>
    <w:rsid w:val="00EE0CE7"/>
    <w:rsid w:val="00EF07F6"/>
    <w:rsid w:val="00F01486"/>
    <w:rsid w:val="00F05D32"/>
    <w:rsid w:val="00F169E8"/>
    <w:rsid w:val="00F20F2A"/>
    <w:rsid w:val="00F23285"/>
    <w:rsid w:val="00F32F6A"/>
    <w:rsid w:val="00F336FC"/>
    <w:rsid w:val="00F40128"/>
    <w:rsid w:val="00F45B38"/>
    <w:rsid w:val="00F47BFF"/>
    <w:rsid w:val="00F726A7"/>
    <w:rsid w:val="00F85E93"/>
    <w:rsid w:val="00FB5AA5"/>
    <w:rsid w:val="00FC3D40"/>
    <w:rsid w:val="00FC3EC2"/>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facebook.com/pages/KPMG-AR-Talento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KPMGArgentina"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me.kpmg/ar/es/home/media/press-releases.html" TargetMode="External"/><Relationship Id="rId20" Type="http://schemas.openxmlformats.org/officeDocument/2006/relationships/hyperlink" Target="http://www.kpmg.com.a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kpmg/co/es/home/insights/2021/03/cinco-tendencias-que-daran-forma-a-la-industria-quimica-en-2021.html" TargetMode="External"/><Relationship Id="rId24" Type="http://schemas.openxmlformats.org/officeDocument/2006/relationships/hyperlink" Target="http://www.youtube.com/kpmgargentin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llarey@kpmg.com.ar" TargetMode="External"/><Relationship Id="rId23" Type="http://schemas.openxmlformats.org/officeDocument/2006/relationships/image" Target="media/image4.png"/><Relationship Id="rId28" Type="http://schemas.openxmlformats.org/officeDocument/2006/relationships/hyperlink" Target="http://kpmgmail.com/collect/click.aspx?u=/G1GTPto3VWHuy7wMzDtDbYc/NLxs+tnCw9ICurexhk=&amp;rh=ff0014d8f77affd523c2dad6fa439070ac05a4fc" TargetMode="External"/><Relationship Id="rId10" Type="http://schemas.openxmlformats.org/officeDocument/2006/relationships/endnotes" Target="endnotes.xml"/><Relationship Id="rId19" Type="http://schemas.openxmlformats.org/officeDocument/2006/relationships/hyperlink" Target="http://kpmgmail.com/collect/click.aspx?u=/G1GTPto3VWHuy7wMzDtDaEKIv6SjnE6KOw7tNdIQNTbUHYuvy2Vxnhnnbes8e7CM1iFUUnJL8c=&amp;rh=ff0014d8f77affd523c2dad6fa439070ac05a4f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gretewilliams@kpmg.com.ar" TargetMode="External"/><Relationship Id="rId22" Type="http://schemas.openxmlformats.org/officeDocument/2006/relationships/hyperlink" Target="https://www.linkedin.com/company/kpmg_argentina" TargetMode="External"/><Relationship Id="rId27" Type="http://schemas.openxmlformats.org/officeDocument/2006/relationships/image" Target="media/image6.png"/><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910D-83EF-42F2-A641-FC0A2731FF6E}">
  <ds:schemaRefs>
    <ds:schemaRef ds:uri="http://schemas.microsoft.com/sharepoint/v3/contenttype/forms"/>
  </ds:schemaRefs>
</ds:datastoreItem>
</file>

<file path=customXml/itemProps3.xml><?xml version="1.0" encoding="utf-8"?>
<ds:datastoreItem xmlns:ds="http://schemas.openxmlformats.org/officeDocument/2006/customXml" ds:itemID="{4ABC07EB-5BC0-4A9D-B52F-4283CB665CF3}">
  <ds:schemaRefs>
    <ds:schemaRef ds:uri="http://schemas.openxmlformats.org/officeDocument/2006/bibliography"/>
  </ds:schemaRefs>
</ds:datastoreItem>
</file>

<file path=customXml/itemProps4.xml><?xml version="1.0" encoding="utf-8"?>
<ds:datastoreItem xmlns:ds="http://schemas.openxmlformats.org/officeDocument/2006/customXml" ds:itemID="{7728A122-05B1-4FA4-9989-8CBD6CF6FDED}">
  <ds:schemaRefs>
    <ds:schemaRef ds:uri="http://schemas.microsoft.com/office/2006/documentManagement/types"/>
    <ds:schemaRef ds:uri="http://purl.org/dc/terms/"/>
    <ds:schemaRef ds:uri="5bb014df-b26e-4791-88b2-8bb8c649518f"/>
    <ds:schemaRef ds:uri="1246c579-7b11-46c5-8e64-70f4a395f505"/>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Press Release (2)</Template>
  <TotalTime>2</TotalTime>
  <Pages>3</Pages>
  <Words>1116</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7242</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4</cp:revision>
  <cp:lastPrinted>2012-02-24T14:42:00Z</cp:lastPrinted>
  <dcterms:created xsi:type="dcterms:W3CDTF">2021-04-16T13:56:00Z</dcterms:created>
  <dcterms:modified xsi:type="dcterms:W3CDTF">2021-04-16T13:56:00Z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