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807" w:rsidRDefault="00471807">
      <w:pPr>
        <w:jc w:val="center"/>
        <w:rPr>
          <w:rFonts w:ascii="Play" w:eastAsia="Play" w:hAnsi="Play" w:cs="Play"/>
          <w:sz w:val="36"/>
          <w:szCs w:val="36"/>
        </w:rPr>
      </w:pPr>
    </w:p>
    <w:p w:rsidR="00471807" w:rsidRDefault="00975B6D">
      <w:pPr>
        <w:jc w:val="center"/>
        <w:rPr>
          <w:rFonts w:ascii="Play" w:eastAsia="Play" w:hAnsi="Play" w:cs="Play"/>
          <w:sz w:val="36"/>
          <w:szCs w:val="36"/>
        </w:rPr>
      </w:pPr>
      <w:r>
        <w:rPr>
          <w:rFonts w:ascii="Play" w:eastAsia="Play" w:hAnsi="Play" w:cs="Play"/>
          <w:sz w:val="36"/>
          <w:szCs w:val="36"/>
        </w:rPr>
        <w:t>Toyota alcanzó un millón de unidades exportadas desde su planta de Zárate</w:t>
      </w:r>
    </w:p>
    <w:p w:rsidR="00471807" w:rsidRDefault="00975B6D">
      <w:pPr>
        <w:jc w:val="center"/>
        <w:rPr>
          <w:rFonts w:ascii="Arial" w:eastAsia="Arial" w:hAnsi="Arial" w:cs="Arial"/>
          <w:i/>
          <w:color w:val="500050"/>
          <w:highlight w:val="white"/>
        </w:rPr>
      </w:pPr>
      <w:r>
        <w:rPr>
          <w:rFonts w:ascii="Play" w:eastAsia="Play" w:hAnsi="Play" w:cs="Play"/>
          <w:sz w:val="24"/>
          <w:szCs w:val="24"/>
        </w:rPr>
        <w:t xml:space="preserve">La automotriz representa un 50% de las exportaciones de la industria, llevando </w:t>
      </w:r>
      <w:proofErr w:type="spellStart"/>
      <w:r>
        <w:rPr>
          <w:rFonts w:ascii="Play" w:eastAsia="Play" w:hAnsi="Play" w:cs="Play"/>
          <w:sz w:val="24"/>
          <w:szCs w:val="24"/>
        </w:rPr>
        <w:t>Hilux</w:t>
      </w:r>
      <w:proofErr w:type="spellEnd"/>
      <w:r>
        <w:rPr>
          <w:rFonts w:ascii="Play" w:eastAsia="Play" w:hAnsi="Play" w:cs="Play"/>
          <w:sz w:val="24"/>
          <w:szCs w:val="24"/>
        </w:rPr>
        <w:t xml:space="preserve"> y SW4 a </w:t>
      </w:r>
      <w:r>
        <w:rPr>
          <w:rFonts w:ascii="Play" w:eastAsia="Play" w:hAnsi="Play" w:cs="Play"/>
          <w:i/>
          <w:sz w:val="24"/>
          <w:szCs w:val="24"/>
        </w:rPr>
        <w:t xml:space="preserve">23 los mercados en Latinoamérica y el Caribe, y consolidándose </w:t>
      </w:r>
      <w:r>
        <w:rPr>
          <w:rFonts w:ascii="Play" w:eastAsia="Play" w:hAnsi="Play" w:cs="Play"/>
          <w:i/>
          <w:sz w:val="24"/>
          <w:szCs w:val="24"/>
        </w:rPr>
        <w:t>como base productora y exportadora.</w:t>
      </w:r>
    </w:p>
    <w:p w:rsidR="00471807" w:rsidRDefault="00471807">
      <w:pPr>
        <w:jc w:val="both"/>
        <w:rPr>
          <w:rFonts w:ascii="Play" w:eastAsia="Play" w:hAnsi="Play" w:cs="Play"/>
          <w:b/>
        </w:rPr>
      </w:pPr>
    </w:p>
    <w:p w:rsidR="00471807" w:rsidRDefault="00975B6D">
      <w:pPr>
        <w:jc w:val="both"/>
        <w:rPr>
          <w:rFonts w:ascii="Play" w:eastAsia="Play" w:hAnsi="Play" w:cs="Play"/>
          <w:b/>
        </w:rPr>
      </w:pPr>
      <w:r>
        <w:rPr>
          <w:rFonts w:ascii="Play" w:eastAsia="Play" w:hAnsi="Play" w:cs="Play"/>
          <w:b/>
        </w:rPr>
        <w:t xml:space="preserve">Buenos Aires, agosto de 2020.- </w:t>
      </w:r>
      <w:r>
        <w:rPr>
          <w:rFonts w:ascii="Play" w:eastAsia="Play" w:hAnsi="Play" w:cs="Play"/>
        </w:rPr>
        <w:t xml:space="preserve">Toyota Argentina concretó la exportación de la </w:t>
      </w:r>
      <w:r>
        <w:rPr>
          <w:rFonts w:ascii="Play" w:eastAsia="Play" w:hAnsi="Play" w:cs="Play"/>
          <w:b/>
        </w:rPr>
        <w:t>unidad un millón,</w:t>
      </w:r>
      <w:r>
        <w:rPr>
          <w:rFonts w:ascii="Play" w:eastAsia="Play" w:hAnsi="Play" w:cs="Play"/>
        </w:rPr>
        <w:t xml:space="preserve"> luego de 23 años de producción en el país, con una </w:t>
      </w:r>
      <w:proofErr w:type="spellStart"/>
      <w:r>
        <w:rPr>
          <w:rFonts w:ascii="Play" w:eastAsia="Play" w:hAnsi="Play" w:cs="Play"/>
        </w:rPr>
        <w:t>Hilux</w:t>
      </w:r>
      <w:proofErr w:type="spellEnd"/>
      <w:r>
        <w:rPr>
          <w:rFonts w:ascii="Play" w:eastAsia="Play" w:hAnsi="Play" w:cs="Play"/>
        </w:rPr>
        <w:t xml:space="preserve"> enviada a El Salvador. </w:t>
      </w:r>
    </w:p>
    <w:p w:rsidR="00471807" w:rsidRDefault="00975B6D">
      <w:pPr>
        <w:jc w:val="both"/>
      </w:pPr>
      <w:r>
        <w:rPr>
          <w:rFonts w:ascii="Play" w:eastAsia="Play" w:hAnsi="Play" w:cs="Play"/>
        </w:rPr>
        <w:t>En 1997 la compañía realizó el primer emba</w:t>
      </w:r>
      <w:r>
        <w:rPr>
          <w:rFonts w:ascii="Play" w:eastAsia="Play" w:hAnsi="Play" w:cs="Play"/>
        </w:rPr>
        <w:t xml:space="preserve">rque de pick-ups a Brasil y Uruguay. Desde 2015, a partir de un aumento de la capacidad productiva en su planta de Zárate, </w:t>
      </w:r>
      <w:r>
        <w:rPr>
          <w:rFonts w:ascii="Play" w:eastAsia="Play" w:hAnsi="Play" w:cs="Play"/>
          <w:b/>
        </w:rPr>
        <w:t xml:space="preserve">se alcanzaron 23 mercados en Latinoamérica y el Caribe abastecidos con </w:t>
      </w:r>
      <w:proofErr w:type="spellStart"/>
      <w:r>
        <w:rPr>
          <w:rFonts w:ascii="Play" w:eastAsia="Play" w:hAnsi="Play" w:cs="Play"/>
          <w:b/>
        </w:rPr>
        <w:t>Hilux</w:t>
      </w:r>
      <w:proofErr w:type="spellEnd"/>
      <w:r>
        <w:rPr>
          <w:rFonts w:ascii="Play" w:eastAsia="Play" w:hAnsi="Play" w:cs="Play"/>
          <w:b/>
        </w:rPr>
        <w:t xml:space="preserve"> y SW4</w:t>
      </w:r>
      <w:r>
        <w:rPr>
          <w:rFonts w:ascii="Play" w:eastAsia="Play" w:hAnsi="Play" w:cs="Play"/>
        </w:rPr>
        <w:t>. Además, las obras de ampliación inauguradas en 20</w:t>
      </w:r>
      <w:r>
        <w:rPr>
          <w:rFonts w:ascii="Play" w:eastAsia="Play" w:hAnsi="Play" w:cs="Play"/>
        </w:rPr>
        <w:t>16 permitieron construir un nuevo Centro de Distribución de Repuestos de 18.000 m2, con la capacidad para exportar en pocas horas a toda la región.</w:t>
      </w:r>
      <w:r>
        <w:t xml:space="preserve"> </w:t>
      </w:r>
    </w:p>
    <w:p w:rsidR="00471807" w:rsidRDefault="00975B6D">
      <w:pPr>
        <w:jc w:val="both"/>
        <w:rPr>
          <w:rFonts w:ascii="Play" w:eastAsia="Play" w:hAnsi="Play" w:cs="Play"/>
        </w:rPr>
      </w:pPr>
      <w:r>
        <w:rPr>
          <w:rFonts w:ascii="Play" w:eastAsia="Play" w:hAnsi="Play" w:cs="Play"/>
        </w:rPr>
        <w:t>Los resultados obtenidos son parte de un trabajo de integración y transformación con todos los distribuidor</w:t>
      </w:r>
      <w:r>
        <w:rPr>
          <w:rFonts w:ascii="Play" w:eastAsia="Play" w:hAnsi="Play" w:cs="Play"/>
        </w:rPr>
        <w:t>es regionales, que incluyó desde la capacitación y la comunicación de las mejores prácticas hasta el soporte técnico personalizado en los nuevos destinos.</w:t>
      </w:r>
    </w:p>
    <w:p w:rsidR="00471807" w:rsidRDefault="00975B6D">
      <w:pPr>
        <w:jc w:val="both"/>
        <w:rPr>
          <w:rFonts w:ascii="Play" w:eastAsia="Play" w:hAnsi="Play" w:cs="Play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1019810</wp:posOffset>
            </wp:positionH>
            <wp:positionV relativeFrom="paragraph">
              <wp:posOffset>6350</wp:posOffset>
            </wp:positionV>
            <wp:extent cx="3360420" cy="3844290"/>
            <wp:effectExtent l="0" t="0" r="0" b="0"/>
            <wp:wrapSquare wrapText="bothSides" distT="0" distB="0" distL="114300" distR="114300"/>
            <wp:docPr id="5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60420" cy="38442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71807" w:rsidRDefault="00471807">
      <w:pPr>
        <w:jc w:val="both"/>
        <w:rPr>
          <w:rFonts w:ascii="Play" w:eastAsia="Play" w:hAnsi="Play" w:cs="Play"/>
        </w:rPr>
      </w:pPr>
    </w:p>
    <w:p w:rsidR="00471807" w:rsidRDefault="00471807">
      <w:pPr>
        <w:jc w:val="both"/>
        <w:rPr>
          <w:rFonts w:ascii="Play" w:eastAsia="Play" w:hAnsi="Play" w:cs="Play"/>
        </w:rPr>
      </w:pPr>
    </w:p>
    <w:p w:rsidR="00471807" w:rsidRDefault="00471807">
      <w:pPr>
        <w:jc w:val="both"/>
        <w:rPr>
          <w:rFonts w:ascii="Play" w:eastAsia="Play" w:hAnsi="Play" w:cs="Play"/>
        </w:rPr>
      </w:pPr>
    </w:p>
    <w:p w:rsidR="00471807" w:rsidRDefault="00471807">
      <w:pPr>
        <w:jc w:val="both"/>
        <w:rPr>
          <w:rFonts w:ascii="Play" w:eastAsia="Play" w:hAnsi="Play" w:cs="Play"/>
        </w:rPr>
      </w:pPr>
    </w:p>
    <w:p w:rsidR="00471807" w:rsidRDefault="00471807">
      <w:pPr>
        <w:jc w:val="both"/>
        <w:rPr>
          <w:rFonts w:ascii="Play" w:eastAsia="Play" w:hAnsi="Play" w:cs="Play"/>
        </w:rPr>
      </w:pPr>
    </w:p>
    <w:p w:rsidR="00471807" w:rsidRDefault="00471807">
      <w:pPr>
        <w:jc w:val="both"/>
        <w:rPr>
          <w:rFonts w:ascii="Play" w:eastAsia="Play" w:hAnsi="Play" w:cs="Play"/>
        </w:rPr>
      </w:pPr>
    </w:p>
    <w:p w:rsidR="00471807" w:rsidRDefault="00471807">
      <w:pPr>
        <w:jc w:val="both"/>
        <w:rPr>
          <w:rFonts w:ascii="Play" w:eastAsia="Play" w:hAnsi="Play" w:cs="Play"/>
        </w:rPr>
      </w:pPr>
    </w:p>
    <w:p w:rsidR="00471807" w:rsidRDefault="00471807">
      <w:pPr>
        <w:jc w:val="both"/>
        <w:rPr>
          <w:rFonts w:ascii="Play" w:eastAsia="Play" w:hAnsi="Play" w:cs="Play"/>
        </w:rPr>
      </w:pPr>
    </w:p>
    <w:p w:rsidR="00471807" w:rsidRDefault="00471807">
      <w:pPr>
        <w:jc w:val="both"/>
        <w:rPr>
          <w:rFonts w:ascii="Play" w:eastAsia="Play" w:hAnsi="Play" w:cs="Play"/>
        </w:rPr>
      </w:pPr>
    </w:p>
    <w:p w:rsidR="00471807" w:rsidRDefault="00471807">
      <w:pPr>
        <w:jc w:val="both"/>
        <w:rPr>
          <w:rFonts w:ascii="Play" w:eastAsia="Play" w:hAnsi="Play" w:cs="Play"/>
        </w:rPr>
      </w:pPr>
    </w:p>
    <w:p w:rsidR="00471807" w:rsidRDefault="00471807">
      <w:pPr>
        <w:jc w:val="both"/>
        <w:rPr>
          <w:rFonts w:ascii="Play" w:eastAsia="Play" w:hAnsi="Play" w:cs="Play"/>
        </w:rPr>
      </w:pPr>
    </w:p>
    <w:p w:rsidR="00471807" w:rsidRDefault="00975B6D">
      <w:pPr>
        <w:tabs>
          <w:tab w:val="left" w:pos="2964"/>
          <w:tab w:val="center" w:pos="4252"/>
        </w:tabs>
        <w:rPr>
          <w:rFonts w:ascii="Play" w:eastAsia="Play" w:hAnsi="Play" w:cs="Play"/>
          <w:sz w:val="16"/>
          <w:szCs w:val="16"/>
        </w:rPr>
      </w:pPr>
      <w:r>
        <w:rPr>
          <w:rFonts w:ascii="Play" w:eastAsia="Play" w:hAnsi="Play" w:cs="Play"/>
          <w:sz w:val="16"/>
          <w:szCs w:val="16"/>
        </w:rPr>
        <w:tab/>
      </w:r>
    </w:p>
    <w:p w:rsidR="00471807" w:rsidRDefault="00975B6D">
      <w:pPr>
        <w:tabs>
          <w:tab w:val="left" w:pos="2964"/>
          <w:tab w:val="center" w:pos="4252"/>
        </w:tabs>
        <w:rPr>
          <w:rFonts w:ascii="Play" w:eastAsia="Play" w:hAnsi="Play" w:cs="Play"/>
          <w:sz w:val="16"/>
          <w:szCs w:val="16"/>
        </w:rPr>
      </w:pPr>
      <w:r>
        <w:rPr>
          <w:rFonts w:ascii="Play" w:eastAsia="Play" w:hAnsi="Play" w:cs="Play"/>
          <w:sz w:val="16"/>
          <w:szCs w:val="16"/>
        </w:rPr>
        <w:tab/>
      </w:r>
    </w:p>
    <w:p w:rsidR="00471807" w:rsidRDefault="003741D0">
      <w:pPr>
        <w:tabs>
          <w:tab w:val="left" w:pos="2964"/>
          <w:tab w:val="center" w:pos="4252"/>
        </w:tabs>
        <w:jc w:val="center"/>
        <w:rPr>
          <w:rFonts w:ascii="Play" w:eastAsia="Play" w:hAnsi="Play" w:cs="Play"/>
          <w:sz w:val="16"/>
          <w:szCs w:val="16"/>
        </w:rPr>
      </w:pPr>
      <w:r>
        <w:rPr>
          <w:rFonts w:ascii="Play" w:eastAsia="Play" w:hAnsi="Play" w:cs="Play"/>
          <w:sz w:val="16"/>
          <w:szCs w:val="16"/>
        </w:rPr>
        <w:br/>
      </w:r>
      <w:r>
        <w:rPr>
          <w:rFonts w:ascii="Play" w:eastAsia="Play" w:hAnsi="Play" w:cs="Play"/>
          <w:sz w:val="16"/>
          <w:szCs w:val="16"/>
        </w:rPr>
        <w:br/>
      </w:r>
      <w:r>
        <w:rPr>
          <w:rFonts w:ascii="Play" w:eastAsia="Play" w:hAnsi="Play" w:cs="Play"/>
          <w:sz w:val="16"/>
          <w:szCs w:val="16"/>
        </w:rPr>
        <w:br/>
      </w:r>
      <w:bookmarkStart w:id="0" w:name="_GoBack"/>
      <w:bookmarkEnd w:id="0"/>
      <w:r w:rsidR="00975B6D">
        <w:rPr>
          <w:rFonts w:ascii="Play" w:eastAsia="Play" w:hAnsi="Play" w:cs="Play"/>
          <w:sz w:val="16"/>
          <w:szCs w:val="16"/>
        </w:rPr>
        <w:t>Primer embarque a Brasil, 1997</w:t>
      </w:r>
    </w:p>
    <w:p w:rsidR="00471807" w:rsidRDefault="00975B6D">
      <w:pPr>
        <w:jc w:val="both"/>
        <w:rPr>
          <w:rFonts w:ascii="Play" w:eastAsia="Play" w:hAnsi="Play" w:cs="Play"/>
        </w:rPr>
      </w:pPr>
      <w:r>
        <w:rPr>
          <w:rFonts w:ascii="Play" w:eastAsia="Play" w:hAnsi="Play" w:cs="Play"/>
        </w:rPr>
        <w:lastRenderedPageBreak/>
        <w:t xml:space="preserve">Los países que se abastecen desde Zárate son: Aruba, </w:t>
      </w:r>
      <w:r>
        <w:rPr>
          <w:rFonts w:ascii="Play" w:eastAsia="Play" w:hAnsi="Play" w:cs="Play"/>
        </w:rPr>
        <w:t>Bahamas, Belice, Bolivia, Brasil, Chile, Colombia, Costa Rica, Curazao, Ecuador, El Salvador, Guatemala, Haití, Honduras, México, Nicaragua, Panamá, Paraguay, Perú, República Dominicana, St. Maarten, Uruguay y Venezuela. Los vehículos exportados se compone</w:t>
      </w:r>
      <w:r>
        <w:rPr>
          <w:rFonts w:ascii="Play" w:eastAsia="Play" w:hAnsi="Play" w:cs="Play"/>
        </w:rPr>
        <w:t xml:space="preserve">n de: 60.505 unidades de </w:t>
      </w:r>
      <w:proofErr w:type="spellStart"/>
      <w:r>
        <w:rPr>
          <w:rFonts w:ascii="Play" w:eastAsia="Play" w:hAnsi="Play" w:cs="Play"/>
        </w:rPr>
        <w:t>Hilux</w:t>
      </w:r>
      <w:proofErr w:type="spellEnd"/>
      <w:r>
        <w:rPr>
          <w:rFonts w:ascii="Play" w:eastAsia="Play" w:hAnsi="Play" w:cs="Play"/>
        </w:rPr>
        <w:t xml:space="preserve"> simple cabina; 752.230 unidades de </w:t>
      </w:r>
      <w:proofErr w:type="spellStart"/>
      <w:r>
        <w:rPr>
          <w:rFonts w:ascii="Play" w:eastAsia="Play" w:hAnsi="Play" w:cs="Play"/>
        </w:rPr>
        <w:t>Hilux</w:t>
      </w:r>
      <w:proofErr w:type="spellEnd"/>
      <w:r>
        <w:rPr>
          <w:rFonts w:ascii="Play" w:eastAsia="Play" w:hAnsi="Play" w:cs="Play"/>
        </w:rPr>
        <w:t xml:space="preserve"> doble cabina; y 188.891 unidades de SW4.</w:t>
      </w:r>
    </w:p>
    <w:p w:rsidR="00471807" w:rsidRDefault="00975B6D">
      <w:pPr>
        <w:jc w:val="both"/>
        <w:rPr>
          <w:rFonts w:ascii="Play" w:eastAsia="Play" w:hAnsi="Play" w:cs="Play"/>
        </w:rPr>
      </w:pPr>
      <w:r>
        <w:rPr>
          <w:rFonts w:ascii="Play" w:eastAsia="Play" w:hAnsi="Play" w:cs="Play"/>
        </w:rPr>
        <w:t>“</w:t>
      </w:r>
      <w:r>
        <w:rPr>
          <w:rFonts w:ascii="Play" w:eastAsia="Play" w:hAnsi="Play" w:cs="Play"/>
          <w:i/>
        </w:rPr>
        <w:t xml:space="preserve">Es un orgullo para todo nuestro equipo haber alcanzado un millón de vehículos exportados desde nuestra planta de Zárate, donde producimos con </w:t>
      </w:r>
      <w:r>
        <w:rPr>
          <w:rFonts w:ascii="Play" w:eastAsia="Play" w:hAnsi="Play" w:cs="Play"/>
          <w:i/>
        </w:rPr>
        <w:t>eficiencia y calidad globales. Pero también es un logro compartido con empleados, sindicatos, proveedores, concesionarios y gobiernos, que siempre se comprometieron con este proyecto sustentable con visión a largo plazo. Y, especialmente, un agradecimiento</w:t>
      </w:r>
      <w:r>
        <w:rPr>
          <w:rFonts w:ascii="Play" w:eastAsia="Play" w:hAnsi="Play" w:cs="Play"/>
          <w:i/>
        </w:rPr>
        <w:t xml:space="preserve"> al trabajo de nuestros distribuidores de la región y a nuestros clientes, que nos eligen todos los días</w:t>
      </w:r>
      <w:r>
        <w:rPr>
          <w:rFonts w:ascii="Play" w:eastAsia="Play" w:hAnsi="Play" w:cs="Play"/>
        </w:rPr>
        <w:t>”, afirmó Daniel Herrero, presidente de la compañía.</w:t>
      </w:r>
    </w:p>
    <w:p w:rsidR="00471807" w:rsidRDefault="00975B6D">
      <w:pPr>
        <w:jc w:val="both"/>
        <w:rPr>
          <w:rFonts w:ascii="Play" w:eastAsia="Play" w:hAnsi="Play" w:cs="Play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5081</wp:posOffset>
            </wp:positionH>
            <wp:positionV relativeFrom="paragraph">
              <wp:posOffset>195580</wp:posOffset>
            </wp:positionV>
            <wp:extent cx="5394960" cy="3657600"/>
            <wp:effectExtent l="0" t="0" r="0" b="0"/>
            <wp:wrapSquare wrapText="bothSides" distT="0" distB="0" distL="114300" distR="114300"/>
            <wp:docPr id="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94960" cy="3657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71807" w:rsidRDefault="00975B6D">
      <w:pPr>
        <w:spacing w:after="0" w:line="240" w:lineRule="auto"/>
        <w:jc w:val="center"/>
        <w:rPr>
          <w:rFonts w:ascii="Play" w:eastAsia="Play" w:hAnsi="Play" w:cs="Play"/>
          <w:sz w:val="16"/>
          <w:szCs w:val="16"/>
        </w:rPr>
      </w:pPr>
      <w:r>
        <w:rPr>
          <w:rFonts w:ascii="Play" w:eastAsia="Play" w:hAnsi="Play" w:cs="Play"/>
          <w:sz w:val="16"/>
          <w:szCs w:val="16"/>
        </w:rPr>
        <w:t>Nuevos destinos de exportación, 2016</w:t>
      </w:r>
    </w:p>
    <w:p w:rsidR="00471807" w:rsidRDefault="00471807">
      <w:pPr>
        <w:jc w:val="both"/>
        <w:rPr>
          <w:rFonts w:ascii="Play" w:eastAsia="Play" w:hAnsi="Play" w:cs="Play"/>
        </w:rPr>
      </w:pPr>
    </w:p>
    <w:p w:rsidR="00471807" w:rsidRDefault="00975B6D">
      <w:pPr>
        <w:jc w:val="both"/>
        <w:rPr>
          <w:rFonts w:ascii="Play" w:eastAsia="Play" w:hAnsi="Play" w:cs="Play"/>
        </w:rPr>
      </w:pPr>
      <w:bookmarkStart w:id="1" w:name="_heading=h.gjdgxs" w:colFirst="0" w:colLast="0"/>
      <w:bookmarkEnd w:id="1"/>
      <w:r>
        <w:rPr>
          <w:rFonts w:ascii="Play" w:eastAsia="Play" w:hAnsi="Play" w:cs="Play"/>
        </w:rPr>
        <w:t xml:space="preserve">El 18 de mayo, luego del aislamiento social decretado en marzo por la pandemia del COVID-19, la planta de Zárate reinició su operación. </w:t>
      </w:r>
      <w:r>
        <w:rPr>
          <w:rFonts w:ascii="Play" w:eastAsia="Play" w:hAnsi="Play" w:cs="Play"/>
          <w:b/>
        </w:rPr>
        <w:t>El 27 de julio se añadió el segundo turno</w:t>
      </w:r>
      <w:r>
        <w:rPr>
          <w:rFonts w:ascii="Play" w:eastAsia="Play" w:hAnsi="Play" w:cs="Play"/>
        </w:rPr>
        <w:t>, a partir de una importante coordinación logística que implica el movimiento d</w:t>
      </w:r>
      <w:r>
        <w:rPr>
          <w:rFonts w:ascii="Play" w:eastAsia="Play" w:hAnsi="Play" w:cs="Play"/>
        </w:rPr>
        <w:t xml:space="preserve">e más de 5.000 personas. Desde el 18 de mayo a la fecha, se fabricaron </w:t>
      </w:r>
      <w:r>
        <w:rPr>
          <w:rFonts w:ascii="Play" w:eastAsia="Play" w:hAnsi="Play" w:cs="Play"/>
          <w:b/>
        </w:rPr>
        <w:t>15.873</w:t>
      </w:r>
      <w:r>
        <w:rPr>
          <w:rFonts w:ascii="Play" w:eastAsia="Play" w:hAnsi="Play" w:cs="Play"/>
        </w:rPr>
        <w:t xml:space="preserve"> unidades, con un total de </w:t>
      </w:r>
      <w:r>
        <w:rPr>
          <w:rFonts w:ascii="Play" w:eastAsia="Play" w:hAnsi="Play" w:cs="Play"/>
          <w:b/>
        </w:rPr>
        <w:t xml:space="preserve">40.668 </w:t>
      </w:r>
      <w:r>
        <w:rPr>
          <w:rFonts w:ascii="Play" w:eastAsia="Play" w:hAnsi="Play" w:cs="Play"/>
        </w:rPr>
        <w:t xml:space="preserve">producidas durante todo este año. </w:t>
      </w:r>
    </w:p>
    <w:p w:rsidR="00471807" w:rsidRDefault="00975B6D">
      <w:pPr>
        <w:jc w:val="both"/>
        <w:rPr>
          <w:rFonts w:ascii="Quattrocento Sans" w:eastAsia="Quattrocento Sans" w:hAnsi="Quattrocento Sans" w:cs="Quattrocento Sans"/>
          <w:sz w:val="21"/>
          <w:szCs w:val="21"/>
        </w:rPr>
      </w:pPr>
      <w:bookmarkStart w:id="2" w:name="_heading=h.fk4pj2ferj1c" w:colFirst="0" w:colLast="0"/>
      <w:bookmarkEnd w:id="2"/>
      <w:r>
        <w:rPr>
          <w:rFonts w:ascii="Play" w:eastAsia="Play" w:hAnsi="Play" w:cs="Play"/>
        </w:rPr>
        <w:t xml:space="preserve">En todo 2020, además, </w:t>
      </w:r>
      <w:r>
        <w:rPr>
          <w:rFonts w:ascii="Play" w:eastAsia="Play" w:hAnsi="Play" w:cs="Play"/>
          <w:b/>
        </w:rPr>
        <w:t xml:space="preserve">Toyota representa el 50% de las exportaciones de la industria automotriz argentina, </w:t>
      </w:r>
      <w:r>
        <w:rPr>
          <w:rFonts w:ascii="Play" w:eastAsia="Play" w:hAnsi="Play" w:cs="Play"/>
        </w:rPr>
        <w:t xml:space="preserve">con </w:t>
      </w:r>
      <w:r>
        <w:rPr>
          <w:rFonts w:ascii="Play" w:eastAsia="Play" w:hAnsi="Play" w:cs="Play"/>
        </w:rPr>
        <w:t>32.724 unidades despachadas y US$800 millones en divisas para el país.</w:t>
      </w:r>
    </w:p>
    <w:p w:rsidR="00471807" w:rsidRDefault="00975B6D">
      <w:pPr>
        <w:jc w:val="both"/>
        <w:rPr>
          <w:rFonts w:ascii="Play" w:eastAsia="Play" w:hAnsi="Play" w:cs="Play"/>
        </w:rPr>
      </w:pPr>
      <w:r>
        <w:rPr>
          <w:rFonts w:ascii="Play" w:eastAsia="Play" w:hAnsi="Play" w:cs="Play"/>
        </w:rPr>
        <w:lastRenderedPageBreak/>
        <w:t xml:space="preserve">De esta manera, Toyota Argentina se consolida como base productora y exportadora para toda la región de los modelos </w:t>
      </w:r>
      <w:proofErr w:type="spellStart"/>
      <w:r>
        <w:rPr>
          <w:rFonts w:ascii="Play" w:eastAsia="Play" w:hAnsi="Play" w:cs="Play"/>
        </w:rPr>
        <w:t>Hilux</w:t>
      </w:r>
      <w:proofErr w:type="spellEnd"/>
      <w:r>
        <w:rPr>
          <w:rFonts w:ascii="Play" w:eastAsia="Play" w:hAnsi="Play" w:cs="Play"/>
        </w:rPr>
        <w:t xml:space="preserve"> y SW4, líderes en nuestro país y en la región desde hace 14 año</w:t>
      </w:r>
      <w:r>
        <w:rPr>
          <w:rFonts w:ascii="Play" w:eastAsia="Play" w:hAnsi="Play" w:cs="Play"/>
        </w:rPr>
        <w:t>s.</w:t>
      </w:r>
    </w:p>
    <w:p w:rsidR="00471807" w:rsidRDefault="00975B6D">
      <w:pPr>
        <w:jc w:val="center"/>
        <w:rPr>
          <w:rFonts w:ascii="Play" w:eastAsia="Play" w:hAnsi="Play" w:cs="Play"/>
        </w:rPr>
      </w:pPr>
      <w:bookmarkStart w:id="3" w:name="_heading=h.1fob9te" w:colFirst="0" w:colLast="0"/>
      <w:bookmarkEnd w:id="3"/>
      <w:r>
        <w:rPr>
          <w:rFonts w:ascii="Play" w:eastAsia="Play" w:hAnsi="Play" w:cs="Play"/>
        </w:rPr>
        <w:t>***</w:t>
      </w:r>
    </w:p>
    <w:p w:rsidR="00471807" w:rsidRDefault="00975B6D">
      <w:pPr>
        <w:jc w:val="both"/>
        <w:rPr>
          <w:rFonts w:ascii="Play" w:eastAsia="Play" w:hAnsi="Play" w:cs="Play"/>
        </w:rPr>
      </w:pPr>
      <w:r>
        <w:rPr>
          <w:rFonts w:ascii="Play" w:eastAsia="Play" w:hAnsi="Play" w:cs="Play"/>
        </w:rPr>
        <w:t>Para más información de prensa, por favor contactarse con:</w:t>
      </w:r>
    </w:p>
    <w:p w:rsidR="00471807" w:rsidRDefault="00471807">
      <w:pPr>
        <w:spacing w:after="0" w:line="240" w:lineRule="auto"/>
        <w:rPr>
          <w:rFonts w:ascii="Play" w:eastAsia="Play" w:hAnsi="Play" w:cs="Play"/>
          <w:b/>
          <w:sz w:val="20"/>
          <w:szCs w:val="20"/>
        </w:rPr>
      </w:pPr>
    </w:p>
    <w:p w:rsidR="00471807" w:rsidRDefault="00975B6D">
      <w:pPr>
        <w:spacing w:after="0" w:line="240" w:lineRule="auto"/>
        <w:rPr>
          <w:rFonts w:ascii="Play" w:eastAsia="Play" w:hAnsi="Play" w:cs="Play"/>
          <w:sz w:val="20"/>
          <w:szCs w:val="20"/>
        </w:rPr>
      </w:pPr>
      <w:r>
        <w:rPr>
          <w:rFonts w:ascii="Play" w:eastAsia="Play" w:hAnsi="Play" w:cs="Play"/>
          <w:b/>
          <w:sz w:val="20"/>
          <w:szCs w:val="20"/>
        </w:rPr>
        <w:t>Yesica Puig</w:t>
      </w:r>
      <w:r>
        <w:rPr>
          <w:rFonts w:ascii="Play" w:eastAsia="Play" w:hAnsi="Play" w:cs="Play"/>
          <w:b/>
          <w:sz w:val="20"/>
          <w:szCs w:val="20"/>
        </w:rPr>
        <w:br/>
      </w:r>
      <w:proofErr w:type="spellStart"/>
      <w:r>
        <w:rPr>
          <w:rFonts w:ascii="Play" w:eastAsia="Play" w:hAnsi="Play" w:cs="Play"/>
          <w:sz w:val="20"/>
          <w:szCs w:val="20"/>
        </w:rPr>
        <w:t>Ninch</w:t>
      </w:r>
      <w:proofErr w:type="spellEnd"/>
      <w:r>
        <w:rPr>
          <w:rFonts w:ascii="Play" w:eastAsia="Play" w:hAnsi="Play" w:cs="Play"/>
          <w:sz w:val="20"/>
          <w:szCs w:val="20"/>
        </w:rPr>
        <w:br/>
      </w:r>
      <w:hyperlink r:id="rId10">
        <w:r>
          <w:rPr>
            <w:rFonts w:ascii="Play" w:eastAsia="Play" w:hAnsi="Play" w:cs="Play"/>
            <w:color w:val="1155CC"/>
            <w:sz w:val="20"/>
            <w:szCs w:val="20"/>
            <w:u w:val="single"/>
          </w:rPr>
          <w:t>yesica@ninch.com.ar</w:t>
        </w:r>
      </w:hyperlink>
      <w:r>
        <w:rPr>
          <w:rFonts w:ascii="Play" w:eastAsia="Play" w:hAnsi="Play" w:cs="Play"/>
          <w:sz w:val="20"/>
          <w:szCs w:val="20"/>
        </w:rPr>
        <w:t xml:space="preserve"> </w:t>
      </w:r>
    </w:p>
    <w:p w:rsidR="00471807" w:rsidRDefault="00471807">
      <w:pPr>
        <w:spacing w:after="0" w:line="240" w:lineRule="auto"/>
        <w:rPr>
          <w:rFonts w:ascii="Play" w:eastAsia="Play" w:hAnsi="Play" w:cs="Play"/>
          <w:b/>
          <w:sz w:val="20"/>
          <w:szCs w:val="20"/>
        </w:rPr>
      </w:pPr>
    </w:p>
    <w:p w:rsidR="00471807" w:rsidRDefault="00975B6D">
      <w:pPr>
        <w:spacing w:after="0" w:line="240" w:lineRule="auto"/>
        <w:rPr>
          <w:rFonts w:ascii="Play" w:eastAsia="Play" w:hAnsi="Play" w:cs="Play"/>
          <w:b/>
          <w:sz w:val="20"/>
          <w:szCs w:val="20"/>
        </w:rPr>
      </w:pPr>
      <w:r>
        <w:rPr>
          <w:rFonts w:ascii="Play" w:eastAsia="Play" w:hAnsi="Play" w:cs="Play"/>
          <w:b/>
          <w:sz w:val="20"/>
          <w:szCs w:val="20"/>
        </w:rPr>
        <w:t xml:space="preserve">Alexa </w:t>
      </w:r>
      <w:proofErr w:type="spellStart"/>
      <w:r>
        <w:rPr>
          <w:rFonts w:ascii="Play" w:eastAsia="Play" w:hAnsi="Play" w:cs="Play"/>
          <w:b/>
          <w:sz w:val="20"/>
          <w:szCs w:val="20"/>
        </w:rPr>
        <w:t>Livisky</w:t>
      </w:r>
      <w:proofErr w:type="spellEnd"/>
      <w:r>
        <w:rPr>
          <w:rFonts w:ascii="Play" w:eastAsia="Play" w:hAnsi="Play" w:cs="Play"/>
          <w:b/>
          <w:sz w:val="20"/>
          <w:szCs w:val="20"/>
        </w:rPr>
        <w:tab/>
      </w:r>
      <w:r>
        <w:rPr>
          <w:rFonts w:ascii="Play" w:eastAsia="Play" w:hAnsi="Play" w:cs="Play"/>
          <w:b/>
          <w:sz w:val="20"/>
          <w:szCs w:val="20"/>
        </w:rPr>
        <w:tab/>
      </w:r>
      <w:r>
        <w:rPr>
          <w:rFonts w:ascii="Play" w:eastAsia="Play" w:hAnsi="Play" w:cs="Play"/>
          <w:b/>
          <w:sz w:val="20"/>
          <w:szCs w:val="20"/>
        </w:rPr>
        <w:tab/>
      </w:r>
      <w:r>
        <w:rPr>
          <w:rFonts w:ascii="Play" w:eastAsia="Play" w:hAnsi="Play" w:cs="Play"/>
          <w:b/>
          <w:sz w:val="20"/>
          <w:szCs w:val="20"/>
        </w:rPr>
        <w:tab/>
      </w:r>
      <w:r>
        <w:rPr>
          <w:rFonts w:ascii="Play" w:eastAsia="Play" w:hAnsi="Play" w:cs="Play"/>
          <w:b/>
          <w:sz w:val="20"/>
          <w:szCs w:val="20"/>
        </w:rPr>
        <w:tab/>
      </w:r>
      <w:r>
        <w:rPr>
          <w:rFonts w:ascii="Play" w:eastAsia="Play" w:hAnsi="Play" w:cs="Play"/>
          <w:b/>
          <w:sz w:val="20"/>
          <w:szCs w:val="20"/>
        </w:rPr>
        <w:tab/>
      </w:r>
      <w:r>
        <w:rPr>
          <w:rFonts w:ascii="Play" w:eastAsia="Play" w:hAnsi="Play" w:cs="Play"/>
          <w:b/>
          <w:sz w:val="20"/>
          <w:szCs w:val="20"/>
        </w:rPr>
        <w:tab/>
      </w:r>
      <w:r>
        <w:rPr>
          <w:rFonts w:ascii="Play" w:eastAsia="Play" w:hAnsi="Play" w:cs="Play"/>
          <w:b/>
          <w:sz w:val="20"/>
          <w:szCs w:val="20"/>
        </w:rPr>
        <w:tab/>
      </w:r>
      <w:r>
        <w:rPr>
          <w:rFonts w:ascii="Play" w:eastAsia="Play" w:hAnsi="Play" w:cs="Play"/>
          <w:b/>
          <w:sz w:val="20"/>
          <w:szCs w:val="20"/>
        </w:rPr>
        <w:tab/>
      </w:r>
    </w:p>
    <w:p w:rsidR="00471807" w:rsidRDefault="00975B6D">
      <w:pPr>
        <w:spacing w:after="0" w:line="240" w:lineRule="auto"/>
        <w:rPr>
          <w:rFonts w:ascii="Play" w:eastAsia="Play" w:hAnsi="Play" w:cs="Play"/>
          <w:sz w:val="20"/>
          <w:szCs w:val="20"/>
        </w:rPr>
      </w:pPr>
      <w:r>
        <w:rPr>
          <w:rFonts w:ascii="Play" w:eastAsia="Play" w:hAnsi="Play" w:cs="Play"/>
          <w:sz w:val="20"/>
          <w:szCs w:val="20"/>
        </w:rPr>
        <w:t xml:space="preserve">Relaciones Públicas </w:t>
      </w:r>
      <w:r>
        <w:rPr>
          <w:rFonts w:ascii="Play" w:eastAsia="Play" w:hAnsi="Play" w:cs="Play"/>
          <w:sz w:val="20"/>
          <w:szCs w:val="20"/>
        </w:rPr>
        <w:tab/>
      </w:r>
      <w:r>
        <w:rPr>
          <w:rFonts w:ascii="Play" w:eastAsia="Play" w:hAnsi="Play" w:cs="Play"/>
          <w:sz w:val="20"/>
          <w:szCs w:val="20"/>
        </w:rPr>
        <w:tab/>
      </w:r>
      <w:r>
        <w:rPr>
          <w:rFonts w:ascii="Play" w:eastAsia="Play" w:hAnsi="Play" w:cs="Play"/>
          <w:sz w:val="20"/>
          <w:szCs w:val="20"/>
        </w:rPr>
        <w:tab/>
      </w:r>
      <w:r>
        <w:rPr>
          <w:rFonts w:ascii="Play" w:eastAsia="Play" w:hAnsi="Play" w:cs="Play"/>
          <w:sz w:val="20"/>
          <w:szCs w:val="20"/>
        </w:rPr>
        <w:tab/>
      </w:r>
      <w:r>
        <w:rPr>
          <w:rFonts w:ascii="Play" w:eastAsia="Play" w:hAnsi="Play" w:cs="Play"/>
          <w:sz w:val="20"/>
          <w:szCs w:val="20"/>
        </w:rPr>
        <w:tab/>
      </w:r>
      <w:r>
        <w:rPr>
          <w:rFonts w:ascii="Play" w:eastAsia="Play" w:hAnsi="Play" w:cs="Play"/>
          <w:sz w:val="20"/>
          <w:szCs w:val="20"/>
        </w:rPr>
        <w:tab/>
      </w:r>
      <w:r>
        <w:rPr>
          <w:rFonts w:ascii="Play" w:eastAsia="Play" w:hAnsi="Play" w:cs="Play"/>
          <w:sz w:val="20"/>
          <w:szCs w:val="20"/>
        </w:rPr>
        <w:tab/>
      </w:r>
      <w:r>
        <w:rPr>
          <w:rFonts w:ascii="Play" w:eastAsia="Play" w:hAnsi="Play" w:cs="Play"/>
          <w:sz w:val="20"/>
          <w:szCs w:val="20"/>
        </w:rPr>
        <w:tab/>
      </w:r>
    </w:p>
    <w:p w:rsidR="00471807" w:rsidRDefault="00975B6D">
      <w:pPr>
        <w:spacing w:after="0" w:line="240" w:lineRule="auto"/>
        <w:rPr>
          <w:rFonts w:ascii="Play" w:eastAsia="Play" w:hAnsi="Play" w:cs="Play"/>
          <w:sz w:val="20"/>
          <w:szCs w:val="20"/>
        </w:rPr>
      </w:pPr>
      <w:r>
        <w:rPr>
          <w:rFonts w:ascii="Play" w:eastAsia="Play" w:hAnsi="Play" w:cs="Play"/>
          <w:sz w:val="20"/>
          <w:szCs w:val="20"/>
        </w:rPr>
        <w:t>Toyota Argentina S.A.</w:t>
      </w:r>
    </w:p>
    <w:p w:rsidR="00471807" w:rsidRDefault="00975B6D">
      <w:pPr>
        <w:spacing w:after="0" w:line="240" w:lineRule="auto"/>
      </w:pPr>
      <w:hyperlink r:id="rId11">
        <w:r>
          <w:rPr>
            <w:rFonts w:ascii="Play" w:eastAsia="Play" w:hAnsi="Play" w:cs="Play"/>
            <w:color w:val="0563C1"/>
            <w:sz w:val="20"/>
            <w:szCs w:val="20"/>
            <w:u w:val="single"/>
          </w:rPr>
          <w:t>alivisky@toyota.com.ar</w:t>
        </w:r>
      </w:hyperlink>
      <w:r>
        <w:br/>
      </w:r>
    </w:p>
    <w:p w:rsidR="00471807" w:rsidRDefault="00471807">
      <w:pPr>
        <w:jc w:val="both"/>
        <w:rPr>
          <w:rFonts w:ascii="Play" w:eastAsia="Play" w:hAnsi="Play" w:cs="Play"/>
          <w:sz w:val="24"/>
          <w:szCs w:val="24"/>
        </w:rPr>
      </w:pPr>
    </w:p>
    <w:sectPr w:rsidR="00471807">
      <w:headerReference w:type="default" r:id="rId12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B6D" w:rsidRDefault="00975B6D">
      <w:pPr>
        <w:spacing w:after="0" w:line="240" w:lineRule="auto"/>
      </w:pPr>
      <w:r>
        <w:separator/>
      </w:r>
    </w:p>
  </w:endnote>
  <w:endnote w:type="continuationSeparator" w:id="0">
    <w:p w:rsidR="00975B6D" w:rsidRDefault="00975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lay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attrocento Sans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B6D" w:rsidRDefault="00975B6D">
      <w:pPr>
        <w:spacing w:after="0" w:line="240" w:lineRule="auto"/>
      </w:pPr>
      <w:r>
        <w:separator/>
      </w:r>
    </w:p>
  </w:footnote>
  <w:footnote w:type="continuationSeparator" w:id="0">
    <w:p w:rsidR="00975B6D" w:rsidRDefault="00975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807" w:rsidRDefault="00975B6D"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4905375</wp:posOffset>
          </wp:positionH>
          <wp:positionV relativeFrom="paragraph">
            <wp:posOffset>-228599</wp:posOffset>
          </wp:positionV>
          <wp:extent cx="741680" cy="617855"/>
          <wp:effectExtent l="0" t="0" r="0" b="0"/>
          <wp:wrapSquare wrapText="bothSides" distT="0" distB="0" distL="114300" distR="114300"/>
          <wp:docPr id="7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1680" cy="6178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>
          <wp:simplePos x="0" y="0"/>
          <wp:positionH relativeFrom="column">
            <wp:posOffset>-504824</wp:posOffset>
          </wp:positionH>
          <wp:positionV relativeFrom="paragraph">
            <wp:posOffset>-283209</wp:posOffset>
          </wp:positionV>
          <wp:extent cx="1180147" cy="730930"/>
          <wp:effectExtent l="0" t="0" r="0" b="0"/>
          <wp:wrapSquare wrapText="bothSides" distT="114300" distB="114300" distL="114300" distR="114300"/>
          <wp:docPr id="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l="12733" t="26000" r="9794" b="26000"/>
                  <a:stretch>
                    <a:fillRect/>
                  </a:stretch>
                </pic:blipFill>
                <pic:spPr>
                  <a:xfrm>
                    <a:off x="0" y="0"/>
                    <a:ext cx="1180147" cy="7309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71807"/>
    <w:rsid w:val="003741D0"/>
    <w:rsid w:val="00471807"/>
    <w:rsid w:val="0097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2206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0687"/>
  </w:style>
  <w:style w:type="paragraph" w:styleId="Piedepgina">
    <w:name w:val="footer"/>
    <w:basedOn w:val="Normal"/>
    <w:link w:val="PiedepginaCar"/>
    <w:uiPriority w:val="99"/>
    <w:unhideWhenUsed/>
    <w:rsid w:val="002206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0687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2206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0687"/>
  </w:style>
  <w:style w:type="paragraph" w:styleId="Piedepgina">
    <w:name w:val="footer"/>
    <w:basedOn w:val="Normal"/>
    <w:link w:val="PiedepginaCar"/>
    <w:uiPriority w:val="99"/>
    <w:unhideWhenUsed/>
    <w:rsid w:val="002206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0687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livisky@toyota.com.a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yesica@ninch.com.a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XVqxRxwzjnAkVkDq+y6fw2H+RA==">AMUW2mVNFmysvppb6xG2XV8HNREFnyiRG9tC8fNdpkrX6UESNwEq/HYuDMQhWLIxTC6V0y0UVIS8tZ3TywJZGO/MRkZJvJYeOICrzMmuoKi/ZwUnG6Lm5JDjMwDCcQ7vT05O6qXyf0U5vEMk2Gh3hHbmM0RuxyMazw==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506</Words>
  <Characters>2786</Characters>
  <Application>Microsoft Office Word</Application>
  <DocSecurity>0</DocSecurity>
  <Lines>23</Lines>
  <Paragraphs>6</Paragraphs>
  <ScaleCrop>false</ScaleCrop>
  <Company/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Lema</dc:creator>
  <cp:lastModifiedBy>Usuario</cp:lastModifiedBy>
  <cp:revision>2</cp:revision>
  <dcterms:created xsi:type="dcterms:W3CDTF">2020-08-03T14:28:00Z</dcterms:created>
  <dcterms:modified xsi:type="dcterms:W3CDTF">2020-08-03T16:19:00Z</dcterms:modified>
</cp:coreProperties>
</file>